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color w:val="2563EB"/>
          <w:sz w:val="44"/>
        </w:rPr>
        <w:t>KOUMAN AI — RAPPORT D'ÉVALUATION &amp; BENCHMARKS NLP</w:t>
      </w:r>
    </w:p>
    <w:p>
      <w:pPr>
        <w:spacing w:before="0" w:after="360"/>
      </w:pPr>
      <w:r>
        <w:rPr>
          <w:rFonts w:ascii="Calibri" w:hAnsi="Calibri"/>
          <w:i/>
          <w:color w:val="64748B"/>
          <w:sz w:val="26"/>
        </w:rPr>
        <w:t>Revue du Pipeline de Traduction NLLB-200 (Français ↔ Dioula), Métriques Empiriques &amp; Contrôle Anti-Fuite</w:t>
      </w:r>
    </w:p>
    <w:tbl>
      <w:tblPr>
        <w:tblW w:type="auto" w:w="0"/>
        <w:jc w:val="center"/>
        <w:tblLook w:firstColumn="1" w:firstRow="1" w:lastColumn="0" w:lastRow="0" w:noHBand="0" w:noVBand="1" w:val="04A0"/>
      </w:tblPr>
      <w:tblGrid>
        <w:gridCol w:w="3312"/>
        <w:gridCol w:w="3312"/>
        <w:gridCol w:w="3312"/>
      </w:tblGrid>
      <w:tr>
        <w:tc>
          <w:tcPr>
            <w:tcW w:type="dxa" w:w="9648"/>
            <w:shd w:fill="F1F5F9"/>
            <w:tcMar>
              <w:top w:w="120" w:type="dxa"/>
              <w:bottom w:w="120" w:type="dxa"/>
              <w:left w:w="180" w:type="dxa"/>
              <w:right w:w="180" w:type="dxa"/>
            </w:tcMar>
          </w:tcPr>
          <w:p>
            <w:pPr>
              <w:spacing w:after="0"/>
            </w:pPr>
            <w:r>
              <w:rPr>
                <w:b/>
                <w:color w:val="0F172A"/>
              </w:rPr>
              <w:t xml:space="preserve">Responsable : </w:t>
            </w:r>
            <w:r>
              <w:t xml:space="preserve">Syndoux  |  </w:t>
            </w:r>
            <w:r>
              <w:rPr>
                <w:b/>
                <w:color w:val="0F172A"/>
              </w:rPr>
              <w:t xml:space="preserve">Date : </w:t>
            </w:r>
            <w:r>
              <w:t xml:space="preserve">06 Octobre 2026  |  </w:t>
            </w:r>
            <w:r>
              <w:rPr>
                <w:b/>
                <w:color w:val="0F172A"/>
              </w:rPr>
              <w:t xml:space="preserve">Branche Git : </w:t>
            </w:r>
            <w:r>
              <w:t>dev (HEAD 66a83a5)</w:t>
            </w:r>
          </w:p>
        </w:tc>
        <w:tc>
          <w:tcPr>
            <w:tcW w:type="dxa" w:w="3312"/>
          </w:tcPr>
          <w:p/>
        </w:tc>
        <w:tc>
          <w:tcPr>
            <w:tcW w:type="dxa" w:w="3312"/>
          </w:tcPr>
          <w:p/>
        </w:tc>
      </w:tr>
    </w:tbl>
    <w:p>
      <w:pPr>
        <w:spacing w:after="200"/>
      </w:pPr>
    </w:p>
    <w:p>
      <w:pPr>
        <w:spacing w:before="320" w:after="120"/>
      </w:pPr>
      <w:r>
        <w:rPr>
          <w:rFonts w:ascii="Calibri" w:hAnsi="Calibri"/>
          <w:b/>
          <w:color w:val="0F172A"/>
          <w:sz w:val="30"/>
        </w:rPr>
        <w:t>1. Résumé Exécutif &amp; Alignement Démo</w:t>
      </w:r>
    </w:p>
    <w:p>
      <w:pPr>
        <w:spacing w:before="0" w:after="120" w:line="276" w:lineRule="auto"/>
      </w:pPr>
      <w:r>
        <w:rPr>
          <w:rFonts w:ascii="Calibri" w:hAnsi="Calibri"/>
          <w:color w:val="334155"/>
          <w:sz w:val="22"/>
        </w:rPr>
        <w:t>Ce document formalise les résultats d'évaluation empiriques, l'analyse comparative et le contrôle d'étanchéité anti-fuite du module de traduction automatique Français ↔ Dioula (Kouman AI).</w:t>
      </w:r>
    </w:p>
    <w:p>
      <w:pPr>
        <w:pStyle w:val="ListBullet"/>
        <w:spacing w:before="0" w:after="80" w:line="276" w:lineRule="auto"/>
      </w:pPr>
      <w:r>
        <w:rPr>
          <w:rFonts w:ascii="Calibri" w:hAnsi="Calibri"/>
          <w:b/>
          <w:color w:val="0F172A"/>
          <w:sz w:val="22"/>
        </w:rPr>
        <w:t xml:space="preserve">Alignement du README : </w:t>
      </w:r>
      <w:r>
        <w:rPr>
          <w:rFonts w:ascii="Calibri" w:hAnsi="Calibri"/>
          <w:color w:val="334155"/>
          <w:sz w:val="22"/>
        </w:rPr>
        <w:t>Toutes les métriques de la documentation ont été alignées rigoureusement sur les mesures empiriques enregistrées dans le fichier data/baselines_results.tsv.</w:t>
      </w:r>
    </w:p>
    <w:p>
      <w:pPr>
        <w:pStyle w:val="ListBullet"/>
        <w:spacing w:before="0" w:after="80" w:line="276" w:lineRule="auto"/>
      </w:pPr>
      <w:r>
        <w:rPr>
          <w:rFonts w:ascii="Calibri" w:hAnsi="Calibri"/>
          <w:b/>
          <w:color w:val="0F172A"/>
          <w:sz w:val="22"/>
        </w:rPr>
        <w:t xml:space="preserve">Chargement HF par défaut : </w:t>
      </w:r>
      <w:r>
        <w:rPr>
          <w:rFonts w:ascii="Calibri" w:hAnsi="Calibri"/>
          <w:color w:val="334155"/>
          <w:sz w:val="22"/>
        </w:rPr>
        <w:t>Le service backend API (api/translation_service.py) pointe désormais par défaut sur la révision HF 160d1a9 (LoRA v2).</w:t>
      </w:r>
    </w:p>
    <w:p>
      <w:pPr>
        <w:pStyle w:val="ListBullet"/>
        <w:spacing w:before="0" w:after="80" w:line="276" w:lineRule="auto"/>
      </w:pPr>
      <w:r>
        <w:rPr>
          <w:rFonts w:ascii="Calibri" w:hAnsi="Calibri"/>
          <w:b/>
          <w:color w:val="0F172A"/>
          <w:sz w:val="22"/>
        </w:rPr>
        <w:t xml:space="preserve">Étanchéité V2 certifiée : </w:t>
      </w:r>
      <w:r>
        <w:rPr>
          <w:rFonts w:ascii="Calibri" w:hAnsi="Calibri"/>
          <w:color w:val="334155"/>
          <w:sz w:val="22"/>
        </w:rPr>
        <w:t>Le contrôle anti-leakage via check_test_leakage.py valide l'exclusion totale (100% zéro fuite) des 144 phrases du Test Sacré vis-à-vis des données d'entraînement/validation V2.</w:t>
      </w:r>
    </w:p>
    <w:p>
      <w:pPr>
        <w:pStyle w:val="ListBullet"/>
        <w:spacing w:before="0" w:after="80" w:line="276" w:lineRule="auto"/>
      </w:pPr>
      <w:r>
        <w:rPr>
          <w:rFonts w:ascii="Calibri" w:hAnsi="Calibri"/>
          <w:b/>
          <w:color w:val="0F172A"/>
          <w:sz w:val="22"/>
        </w:rPr>
        <w:t xml:space="preserve">Recommandation Démo du 07/10 : </w:t>
      </w:r>
      <w:r>
        <w:rPr>
          <w:rFonts w:ascii="Calibri" w:hAnsi="Calibri"/>
          <w:color w:val="334155"/>
          <w:sz w:val="22"/>
        </w:rPr>
        <w:t>Présenter le backend fonctionnel avec NLLB + LoRA v2 en direct, et citer les performances mesurées du Test Sacré (passage de 12.03 à 29.14 BLEU) comme référence solide et validée.</w:t>
      </w:r>
    </w:p>
    <w:p>
      <w:pPr>
        <w:spacing w:before="320" w:after="120"/>
      </w:pPr>
      <w:r>
        <w:rPr>
          <w:rFonts w:ascii="Calibri" w:hAnsi="Calibri"/>
          <w:b/>
          <w:color w:val="0F172A"/>
          <w:sz w:val="30"/>
        </w:rPr>
        <w:t>2. Données de Référence Mesurées (data/baselines_results.tsv)</w:t>
      </w:r>
    </w:p>
    <w:p>
      <w:pPr>
        <w:spacing w:before="0" w:after="120" w:line="276" w:lineRule="auto"/>
      </w:pPr>
      <w:r>
        <w:rPr>
          <w:rFonts w:ascii="Calibri" w:hAnsi="Calibri"/>
          <w:color w:val="334155"/>
          <w:sz w:val="22"/>
        </w:rPr>
        <w:t>Le tableau ci-dessous synthétise les mesures réelles extraites du banc de test du dépôt :</w:t>
      </w:r>
    </w:p>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0F172A"/>
            <w:tcMar>
              <w:top w:w="100" w:type="dxa"/>
              <w:bottom w:w="100" w:type="dxa"/>
              <w:left w:w="100" w:type="dxa"/>
              <w:right w:w="100" w:type="dxa"/>
            </w:tcMar>
          </w:tcPr>
          <w:p>
            <w:pPr>
              <w:jc w:val="center"/>
            </w:pPr>
            <w:r>
              <w:rPr>
                <w:rFonts w:ascii="Calibri" w:hAnsi="Calibri"/>
                <w:b/>
                <w:color w:val="FFFFFF"/>
                <w:sz w:val="20"/>
              </w:rPr>
              <w:t>Modèle / Pipeline</w:t>
            </w:r>
          </w:p>
        </w:tc>
        <w:tc>
          <w:tcPr>
            <w:tcW w:type="dxa" w:w="1656"/>
            <w:shd w:fill="0F172A"/>
            <w:tcMar>
              <w:top w:w="100" w:type="dxa"/>
              <w:bottom w:w="100" w:type="dxa"/>
              <w:left w:w="100" w:type="dxa"/>
              <w:right w:w="100" w:type="dxa"/>
            </w:tcMar>
          </w:tcPr>
          <w:p>
            <w:pPr>
              <w:jc w:val="center"/>
            </w:pPr>
            <w:r>
              <w:rPr>
                <w:rFonts w:ascii="Calibri" w:hAnsi="Calibri"/>
                <w:b/>
                <w:color w:val="FFFFFF"/>
                <w:sz w:val="20"/>
              </w:rPr>
              <w:t>Dataset d'Évaluation</w:t>
            </w:r>
          </w:p>
        </w:tc>
        <w:tc>
          <w:tcPr>
            <w:tcW w:type="dxa" w:w="1656"/>
            <w:shd w:fill="0F172A"/>
            <w:tcMar>
              <w:top w:w="100" w:type="dxa"/>
              <w:bottom w:w="100" w:type="dxa"/>
              <w:left w:w="100" w:type="dxa"/>
              <w:right w:w="100" w:type="dxa"/>
            </w:tcMar>
          </w:tcPr>
          <w:p>
            <w:pPr>
              <w:jc w:val="center"/>
            </w:pPr>
            <w:r>
              <w:rPr>
                <w:rFonts w:ascii="Calibri" w:hAnsi="Calibri"/>
                <w:b/>
                <w:color w:val="FFFFFF"/>
                <w:sz w:val="20"/>
              </w:rPr>
              <w:t>Direction</w:t>
            </w:r>
          </w:p>
        </w:tc>
        <w:tc>
          <w:tcPr>
            <w:tcW w:type="dxa" w:w="1656"/>
            <w:shd w:fill="0F172A"/>
            <w:tcMar>
              <w:top w:w="100" w:type="dxa"/>
              <w:bottom w:w="100" w:type="dxa"/>
              <w:left w:w="100" w:type="dxa"/>
              <w:right w:w="100" w:type="dxa"/>
            </w:tcMar>
          </w:tcPr>
          <w:p>
            <w:pPr>
              <w:jc w:val="center"/>
            </w:pPr>
            <w:r>
              <w:rPr>
                <w:rFonts w:ascii="Calibri" w:hAnsi="Calibri"/>
                <w:b/>
                <w:color w:val="FFFFFF"/>
                <w:sz w:val="20"/>
              </w:rPr>
              <w:t>Échantillons</w:t>
            </w:r>
          </w:p>
        </w:tc>
        <w:tc>
          <w:tcPr>
            <w:tcW w:type="dxa" w:w="1656"/>
            <w:shd w:fill="0F172A"/>
            <w:tcMar>
              <w:top w:w="100" w:type="dxa"/>
              <w:bottom w:w="100" w:type="dxa"/>
              <w:left w:w="100" w:type="dxa"/>
              <w:right w:w="100" w:type="dxa"/>
            </w:tcMar>
          </w:tcPr>
          <w:p>
            <w:pPr>
              <w:jc w:val="center"/>
            </w:pPr>
            <w:r>
              <w:rPr>
                <w:rFonts w:ascii="Calibri" w:hAnsi="Calibri"/>
                <w:b/>
                <w:color w:val="FFFFFF"/>
                <w:sz w:val="20"/>
              </w:rPr>
              <w:t>chrF++</w:t>
            </w:r>
          </w:p>
        </w:tc>
        <w:tc>
          <w:tcPr>
            <w:tcW w:type="dxa" w:w="1656"/>
            <w:shd w:fill="0F172A"/>
            <w:tcMar>
              <w:top w:w="100" w:type="dxa"/>
              <w:bottom w:w="100" w:type="dxa"/>
              <w:left w:w="100" w:type="dxa"/>
              <w:right w:w="100" w:type="dxa"/>
            </w:tcMar>
          </w:tcPr>
          <w:p>
            <w:pPr>
              <w:jc w:val="center"/>
            </w:pPr>
            <w:r>
              <w:rPr>
                <w:rFonts w:ascii="Calibri" w:hAnsi="Calibri"/>
                <w:b/>
                <w:color w:val="FFFFFF"/>
                <w:sz w:val="20"/>
              </w:rPr>
              <w:t>BLEU</w:t>
            </w:r>
          </w:p>
        </w:tc>
      </w:tr>
      <w:tr>
        <w:tc>
          <w:tcPr>
            <w:tcW w:type="dxa" w:w="1656"/>
            <w:shd w:fill="F8FAFC"/>
            <w:tcMar>
              <w:top w:w="80" w:type="dxa"/>
              <w:bottom w:w="80" w:type="dxa"/>
              <w:left w:w="100" w:type="dxa"/>
              <w:right w:w="100" w:type="dxa"/>
            </w:tcMar>
          </w:tcPr>
          <w:p>
            <w:r>
              <w:rPr>
                <w:rFonts w:ascii="Calibri" w:hAnsi="Calibri"/>
                <w:color w:val="334155"/>
                <w:sz w:val="19"/>
              </w:rPr>
              <w:t>NLLB Zero-Shot (Base)</w:t>
            </w:r>
          </w:p>
        </w:tc>
        <w:tc>
          <w:tcPr>
            <w:tcW w:type="dxa" w:w="1656"/>
            <w:shd w:fill="F8FAFC"/>
            <w:tcMar>
              <w:top w:w="80" w:type="dxa"/>
              <w:bottom w:w="80" w:type="dxa"/>
              <w:left w:w="100" w:type="dxa"/>
              <w:right w:w="100" w:type="dxa"/>
            </w:tcMar>
          </w:tcPr>
          <w:p>
            <w:r>
              <w:rPr>
                <w:rFonts w:ascii="Calibri" w:hAnsi="Calibri"/>
                <w:color w:val="334155"/>
                <w:sz w:val="19"/>
              </w:rPr>
              <w:t>Validation V2 (processed_v2_val.json)</w:t>
            </w:r>
          </w:p>
        </w:tc>
        <w:tc>
          <w:tcPr>
            <w:tcW w:type="dxa" w:w="1656"/>
            <w:shd w:fill="F8FAFC"/>
            <w:tcMar>
              <w:top w:w="80" w:type="dxa"/>
              <w:bottom w:w="80" w:type="dxa"/>
              <w:left w:w="100" w:type="dxa"/>
              <w:right w:w="100" w:type="dxa"/>
            </w:tcMar>
          </w:tcPr>
          <w:p>
            <w:r>
              <w:rPr>
                <w:rFonts w:ascii="Calibri" w:hAnsi="Calibri"/>
                <w:color w:val="334155"/>
                <w:sz w:val="19"/>
              </w:rPr>
              <w:t>FR ➔ DYU</w:t>
            </w:r>
          </w:p>
        </w:tc>
        <w:tc>
          <w:tcPr>
            <w:tcW w:type="dxa" w:w="1656"/>
            <w:shd w:fill="F8FAFC"/>
            <w:tcMar>
              <w:top w:w="80" w:type="dxa"/>
              <w:bottom w:w="80" w:type="dxa"/>
              <w:left w:w="100" w:type="dxa"/>
              <w:right w:w="100" w:type="dxa"/>
            </w:tcMar>
          </w:tcPr>
          <w:p>
            <w:pPr>
              <w:jc w:val="center"/>
            </w:pPr>
            <w:r>
              <w:rPr>
                <w:rFonts w:ascii="Calibri" w:hAnsi="Calibri"/>
                <w:color w:val="334155"/>
                <w:sz w:val="19"/>
              </w:rPr>
              <w:t>470</w:t>
            </w:r>
          </w:p>
        </w:tc>
        <w:tc>
          <w:tcPr>
            <w:tcW w:type="dxa" w:w="1656"/>
            <w:shd w:fill="F8FAFC"/>
            <w:tcMar>
              <w:top w:w="80" w:type="dxa"/>
              <w:bottom w:w="80" w:type="dxa"/>
              <w:left w:w="100" w:type="dxa"/>
              <w:right w:w="100" w:type="dxa"/>
            </w:tcMar>
          </w:tcPr>
          <w:p>
            <w:pPr>
              <w:jc w:val="center"/>
            </w:pPr>
            <w:r>
              <w:rPr>
                <w:rFonts w:ascii="Calibri" w:hAnsi="Calibri"/>
                <w:color w:val="334155"/>
                <w:sz w:val="19"/>
              </w:rPr>
              <w:t>61.87</w:t>
            </w:r>
          </w:p>
        </w:tc>
        <w:tc>
          <w:tcPr>
            <w:tcW w:type="dxa" w:w="1656"/>
            <w:shd w:fill="F8FAFC"/>
            <w:tcMar>
              <w:top w:w="80" w:type="dxa"/>
              <w:bottom w:w="80" w:type="dxa"/>
              <w:left w:w="100" w:type="dxa"/>
              <w:right w:w="100" w:type="dxa"/>
            </w:tcMar>
          </w:tcPr>
          <w:p>
            <w:pPr>
              <w:jc w:val="center"/>
            </w:pPr>
            <w:r>
              <w:rPr>
                <w:rFonts w:ascii="Calibri" w:hAnsi="Calibri"/>
                <w:color w:val="334155"/>
                <w:sz w:val="19"/>
              </w:rPr>
              <w:t>44.63</w:t>
            </w:r>
          </w:p>
        </w:tc>
      </w:tr>
      <w:tr>
        <w:tc>
          <w:tcPr>
            <w:tcW w:type="dxa" w:w="1656"/>
            <w:shd w:fill="FFFFFF"/>
            <w:tcMar>
              <w:top w:w="80" w:type="dxa"/>
              <w:bottom w:w="80" w:type="dxa"/>
              <w:left w:w="100" w:type="dxa"/>
              <w:right w:w="100" w:type="dxa"/>
            </w:tcMar>
          </w:tcPr>
          <w:p>
            <w:r>
              <w:rPr>
                <w:rFonts w:ascii="Calibri" w:hAnsi="Calibri"/>
                <w:color w:val="334155"/>
                <w:sz w:val="19"/>
              </w:rPr>
              <w:t>NLLB Zero-Shot (Base)</w:t>
            </w:r>
          </w:p>
        </w:tc>
        <w:tc>
          <w:tcPr>
            <w:tcW w:type="dxa" w:w="1656"/>
            <w:shd w:fill="FFFFFF"/>
            <w:tcMar>
              <w:top w:w="80" w:type="dxa"/>
              <w:bottom w:w="80" w:type="dxa"/>
              <w:left w:w="100" w:type="dxa"/>
              <w:right w:w="100" w:type="dxa"/>
            </w:tcMar>
          </w:tcPr>
          <w:p>
            <w:r>
              <w:rPr>
                <w:rFonts w:ascii="Calibri" w:hAnsi="Calibri"/>
                <w:color w:val="334155"/>
                <w:sz w:val="19"/>
              </w:rPr>
              <w:t>Validation V2 (processed_v2_val.json)</w:t>
            </w:r>
          </w:p>
        </w:tc>
        <w:tc>
          <w:tcPr>
            <w:tcW w:type="dxa" w:w="1656"/>
            <w:shd w:fill="FFFFFF"/>
            <w:tcMar>
              <w:top w:w="80" w:type="dxa"/>
              <w:bottom w:w="80" w:type="dxa"/>
              <w:left w:w="100" w:type="dxa"/>
              <w:right w:w="100" w:type="dxa"/>
            </w:tcMar>
          </w:tcPr>
          <w:p>
            <w:r>
              <w:rPr>
                <w:rFonts w:ascii="Calibri" w:hAnsi="Calibri"/>
                <w:color w:val="334155"/>
                <w:sz w:val="19"/>
              </w:rPr>
              <w:t>DYU ➔ FR</w:t>
            </w:r>
          </w:p>
        </w:tc>
        <w:tc>
          <w:tcPr>
            <w:tcW w:type="dxa" w:w="1656"/>
            <w:shd w:fill="FFFFFF"/>
            <w:tcMar>
              <w:top w:w="80" w:type="dxa"/>
              <w:bottom w:w="80" w:type="dxa"/>
              <w:left w:w="100" w:type="dxa"/>
              <w:right w:w="100" w:type="dxa"/>
            </w:tcMar>
          </w:tcPr>
          <w:p>
            <w:pPr>
              <w:jc w:val="center"/>
            </w:pPr>
            <w:r>
              <w:rPr>
                <w:rFonts w:ascii="Calibri" w:hAnsi="Calibri"/>
                <w:color w:val="334155"/>
                <w:sz w:val="19"/>
              </w:rPr>
              <w:t>470</w:t>
            </w:r>
          </w:p>
        </w:tc>
        <w:tc>
          <w:tcPr>
            <w:tcW w:type="dxa" w:w="1656"/>
            <w:shd w:fill="FFFFFF"/>
            <w:tcMar>
              <w:top w:w="80" w:type="dxa"/>
              <w:bottom w:w="80" w:type="dxa"/>
              <w:left w:w="100" w:type="dxa"/>
              <w:right w:w="100" w:type="dxa"/>
            </w:tcMar>
          </w:tcPr>
          <w:p>
            <w:pPr>
              <w:jc w:val="center"/>
            </w:pPr>
            <w:r>
              <w:rPr>
                <w:rFonts w:ascii="Calibri" w:hAnsi="Calibri"/>
                <w:color w:val="334155"/>
                <w:sz w:val="19"/>
              </w:rPr>
              <w:t>53.53</w:t>
            </w:r>
          </w:p>
        </w:tc>
        <w:tc>
          <w:tcPr>
            <w:tcW w:type="dxa" w:w="1656"/>
            <w:shd w:fill="FFFFFF"/>
            <w:tcMar>
              <w:top w:w="80" w:type="dxa"/>
              <w:bottom w:w="80" w:type="dxa"/>
              <w:left w:w="100" w:type="dxa"/>
              <w:right w:w="100" w:type="dxa"/>
            </w:tcMar>
          </w:tcPr>
          <w:p>
            <w:pPr>
              <w:jc w:val="center"/>
            </w:pPr>
            <w:r>
              <w:rPr>
                <w:rFonts w:ascii="Calibri" w:hAnsi="Calibri"/>
                <w:color w:val="334155"/>
                <w:sz w:val="19"/>
              </w:rPr>
              <w:t>30.52</w:t>
            </w:r>
          </w:p>
        </w:tc>
      </w:tr>
      <w:tr>
        <w:tc>
          <w:tcPr>
            <w:tcW w:type="dxa" w:w="1656"/>
            <w:shd w:fill="F8FAFC"/>
            <w:tcMar>
              <w:top w:w="80" w:type="dxa"/>
              <w:bottom w:w="80" w:type="dxa"/>
              <w:left w:w="100" w:type="dxa"/>
              <w:right w:w="100" w:type="dxa"/>
            </w:tcMar>
          </w:tcPr>
          <w:p>
            <w:r>
              <w:rPr>
                <w:rFonts w:ascii="Calibri" w:hAnsi="Calibri"/>
                <w:color w:val="334155"/>
                <w:sz w:val="19"/>
              </w:rPr>
              <w:t>NLLB Zero-Shot (Base)</w:t>
            </w:r>
          </w:p>
        </w:tc>
        <w:tc>
          <w:tcPr>
            <w:tcW w:type="dxa" w:w="1656"/>
            <w:shd w:fill="F8FAFC"/>
            <w:tcMar>
              <w:top w:w="80" w:type="dxa"/>
              <w:bottom w:w="80" w:type="dxa"/>
              <w:left w:w="100" w:type="dxa"/>
              <w:right w:w="100" w:type="dxa"/>
            </w:tcMar>
          </w:tcPr>
          <w:p>
            <w:r>
              <w:rPr>
                <w:rFonts w:ascii="Calibri" w:hAnsi="Calibri"/>
                <w:color w:val="334155"/>
                <w:sz w:val="19"/>
              </w:rPr>
              <w:t>Test Sacré (test_sacre.csv)</w:t>
            </w:r>
          </w:p>
        </w:tc>
        <w:tc>
          <w:tcPr>
            <w:tcW w:type="dxa" w:w="1656"/>
            <w:shd w:fill="F8FAFC"/>
            <w:tcMar>
              <w:top w:w="80" w:type="dxa"/>
              <w:bottom w:w="80" w:type="dxa"/>
              <w:left w:w="100" w:type="dxa"/>
              <w:right w:w="100" w:type="dxa"/>
            </w:tcMar>
          </w:tcPr>
          <w:p>
            <w:r>
              <w:rPr>
                <w:rFonts w:ascii="Calibri" w:hAnsi="Calibri"/>
                <w:color w:val="334155"/>
                <w:sz w:val="19"/>
              </w:rPr>
              <w:t>FR ➔ DYU</w:t>
            </w:r>
          </w:p>
        </w:tc>
        <w:tc>
          <w:tcPr>
            <w:tcW w:type="dxa" w:w="1656"/>
            <w:shd w:fill="F8FAFC"/>
            <w:tcMar>
              <w:top w:w="80" w:type="dxa"/>
              <w:bottom w:w="80" w:type="dxa"/>
              <w:left w:w="100" w:type="dxa"/>
              <w:right w:w="100" w:type="dxa"/>
            </w:tcMar>
          </w:tcPr>
          <w:p>
            <w:pPr>
              <w:jc w:val="center"/>
            </w:pPr>
            <w:r>
              <w:rPr>
                <w:rFonts w:ascii="Calibri" w:hAnsi="Calibri"/>
                <w:color w:val="334155"/>
                <w:sz w:val="19"/>
              </w:rPr>
              <w:t>144</w:t>
            </w:r>
          </w:p>
        </w:tc>
        <w:tc>
          <w:tcPr>
            <w:tcW w:type="dxa" w:w="1656"/>
            <w:shd w:fill="F8FAFC"/>
            <w:tcMar>
              <w:top w:w="80" w:type="dxa"/>
              <w:bottom w:w="80" w:type="dxa"/>
              <w:left w:w="100" w:type="dxa"/>
              <w:right w:w="100" w:type="dxa"/>
            </w:tcMar>
          </w:tcPr>
          <w:p>
            <w:pPr>
              <w:jc w:val="center"/>
            </w:pPr>
            <w:r>
              <w:rPr>
                <w:rFonts w:ascii="Calibri" w:hAnsi="Calibri"/>
                <w:color w:val="334155"/>
                <w:sz w:val="19"/>
              </w:rPr>
              <w:t>33.76</w:t>
            </w:r>
          </w:p>
        </w:tc>
        <w:tc>
          <w:tcPr>
            <w:tcW w:type="dxa" w:w="1656"/>
            <w:shd w:fill="F8FAFC"/>
            <w:tcMar>
              <w:top w:w="80" w:type="dxa"/>
              <w:bottom w:w="80" w:type="dxa"/>
              <w:left w:w="100" w:type="dxa"/>
              <w:right w:w="100" w:type="dxa"/>
            </w:tcMar>
          </w:tcPr>
          <w:p>
            <w:pPr>
              <w:jc w:val="center"/>
            </w:pPr>
            <w:r>
              <w:rPr>
                <w:rFonts w:ascii="Calibri" w:hAnsi="Calibri"/>
                <w:color w:val="334155"/>
                <w:sz w:val="19"/>
              </w:rPr>
              <w:t>12.03</w:t>
            </w:r>
          </w:p>
        </w:tc>
      </w:tr>
      <w:tr>
        <w:tc>
          <w:tcPr>
            <w:tcW w:type="dxa" w:w="1656"/>
            <w:shd w:fill="FFFFFF"/>
            <w:tcMar>
              <w:top w:w="80" w:type="dxa"/>
              <w:bottom w:w="80" w:type="dxa"/>
              <w:left w:w="100" w:type="dxa"/>
              <w:right w:w="100" w:type="dxa"/>
            </w:tcMar>
          </w:tcPr>
          <w:p>
            <w:r>
              <w:rPr>
                <w:rFonts w:ascii="Calibri" w:hAnsi="Calibri"/>
                <w:color w:val="334155"/>
                <w:sz w:val="19"/>
              </w:rPr>
              <w:t>NLLB Zero-Shot (Base)</w:t>
            </w:r>
          </w:p>
        </w:tc>
        <w:tc>
          <w:tcPr>
            <w:tcW w:type="dxa" w:w="1656"/>
            <w:shd w:fill="FFFFFF"/>
            <w:tcMar>
              <w:top w:w="80" w:type="dxa"/>
              <w:bottom w:w="80" w:type="dxa"/>
              <w:left w:w="100" w:type="dxa"/>
              <w:right w:w="100" w:type="dxa"/>
            </w:tcMar>
          </w:tcPr>
          <w:p>
            <w:r>
              <w:rPr>
                <w:rFonts w:ascii="Calibri" w:hAnsi="Calibri"/>
                <w:color w:val="334155"/>
                <w:sz w:val="19"/>
              </w:rPr>
              <w:t>Test Sacré (test_sacre.csv)</w:t>
            </w:r>
          </w:p>
        </w:tc>
        <w:tc>
          <w:tcPr>
            <w:tcW w:type="dxa" w:w="1656"/>
            <w:shd w:fill="FFFFFF"/>
            <w:tcMar>
              <w:top w:w="80" w:type="dxa"/>
              <w:bottom w:w="80" w:type="dxa"/>
              <w:left w:w="100" w:type="dxa"/>
              <w:right w:w="100" w:type="dxa"/>
            </w:tcMar>
          </w:tcPr>
          <w:p>
            <w:r>
              <w:rPr>
                <w:rFonts w:ascii="Calibri" w:hAnsi="Calibri"/>
                <w:color w:val="334155"/>
                <w:sz w:val="19"/>
              </w:rPr>
              <w:t>DYU ➔ FR</w:t>
            </w:r>
          </w:p>
        </w:tc>
        <w:tc>
          <w:tcPr>
            <w:tcW w:type="dxa" w:w="1656"/>
            <w:shd w:fill="FFFFFF"/>
            <w:tcMar>
              <w:top w:w="80" w:type="dxa"/>
              <w:bottom w:w="80" w:type="dxa"/>
              <w:left w:w="100" w:type="dxa"/>
              <w:right w:w="100" w:type="dxa"/>
            </w:tcMar>
          </w:tcPr>
          <w:p>
            <w:pPr>
              <w:jc w:val="center"/>
            </w:pPr>
            <w:r>
              <w:rPr>
                <w:rFonts w:ascii="Calibri" w:hAnsi="Calibri"/>
                <w:color w:val="334155"/>
                <w:sz w:val="19"/>
              </w:rPr>
              <w:t>144</w:t>
            </w:r>
          </w:p>
        </w:tc>
        <w:tc>
          <w:tcPr>
            <w:tcW w:type="dxa" w:w="1656"/>
            <w:shd w:fill="FFFFFF"/>
            <w:tcMar>
              <w:top w:w="80" w:type="dxa"/>
              <w:bottom w:w="80" w:type="dxa"/>
              <w:left w:w="100" w:type="dxa"/>
              <w:right w:w="100" w:type="dxa"/>
            </w:tcMar>
          </w:tcPr>
          <w:p>
            <w:pPr>
              <w:jc w:val="center"/>
            </w:pPr>
            <w:r>
              <w:rPr>
                <w:rFonts w:ascii="Calibri" w:hAnsi="Calibri"/>
                <w:color w:val="334155"/>
                <w:sz w:val="19"/>
              </w:rPr>
              <w:t>38.79</w:t>
            </w:r>
          </w:p>
        </w:tc>
        <w:tc>
          <w:tcPr>
            <w:tcW w:type="dxa" w:w="1656"/>
            <w:shd w:fill="FFFFFF"/>
            <w:tcMar>
              <w:top w:w="80" w:type="dxa"/>
              <w:bottom w:w="80" w:type="dxa"/>
              <w:left w:w="100" w:type="dxa"/>
              <w:right w:w="100" w:type="dxa"/>
            </w:tcMar>
          </w:tcPr>
          <w:p>
            <w:pPr>
              <w:jc w:val="center"/>
            </w:pPr>
            <w:r>
              <w:rPr>
                <w:rFonts w:ascii="Calibri" w:hAnsi="Calibri"/>
                <w:color w:val="334155"/>
                <w:sz w:val="19"/>
              </w:rPr>
              <w:t>17.30</w:t>
            </w:r>
          </w:p>
        </w:tc>
      </w:tr>
      <w:tr>
        <w:tc>
          <w:tcPr>
            <w:tcW w:type="dxa" w:w="1656"/>
            <w:shd w:fill="F8FAFC"/>
            <w:tcMar>
              <w:top w:w="80" w:type="dxa"/>
              <w:bottom w:w="80" w:type="dxa"/>
              <w:left w:w="100" w:type="dxa"/>
              <w:right w:w="100" w:type="dxa"/>
            </w:tcMar>
          </w:tcPr>
          <w:p>
            <w:r>
              <w:rPr>
                <w:rFonts w:ascii="Calibri" w:hAnsi="Calibri"/>
                <w:color w:val="334155"/>
                <w:sz w:val="19"/>
              </w:rPr>
              <w:t>LoRA v1 (Actuel)</w:t>
            </w:r>
          </w:p>
        </w:tc>
        <w:tc>
          <w:tcPr>
            <w:tcW w:type="dxa" w:w="1656"/>
            <w:shd w:fill="F8FAFC"/>
            <w:tcMar>
              <w:top w:w="80" w:type="dxa"/>
              <w:bottom w:w="80" w:type="dxa"/>
              <w:left w:w="100" w:type="dxa"/>
              <w:right w:w="100" w:type="dxa"/>
            </w:tcMar>
          </w:tcPr>
          <w:p>
            <w:r>
              <w:rPr>
                <w:rFonts w:ascii="Calibri" w:hAnsi="Calibri"/>
                <w:color w:val="334155"/>
                <w:sz w:val="19"/>
              </w:rPr>
              <w:t>Validation V2 (processed_v2_val.json)</w:t>
            </w:r>
          </w:p>
        </w:tc>
        <w:tc>
          <w:tcPr>
            <w:tcW w:type="dxa" w:w="1656"/>
            <w:shd w:fill="F8FAFC"/>
            <w:tcMar>
              <w:top w:w="80" w:type="dxa"/>
              <w:bottom w:w="80" w:type="dxa"/>
              <w:left w:w="100" w:type="dxa"/>
              <w:right w:w="100" w:type="dxa"/>
            </w:tcMar>
          </w:tcPr>
          <w:p>
            <w:r>
              <w:rPr>
                <w:rFonts w:ascii="Calibri" w:hAnsi="Calibri"/>
                <w:color w:val="334155"/>
                <w:sz w:val="19"/>
              </w:rPr>
              <w:t>FR ➔ DYU</w:t>
            </w:r>
          </w:p>
        </w:tc>
        <w:tc>
          <w:tcPr>
            <w:tcW w:type="dxa" w:w="1656"/>
            <w:shd w:fill="F8FAFC"/>
            <w:tcMar>
              <w:top w:w="80" w:type="dxa"/>
              <w:bottom w:w="80" w:type="dxa"/>
              <w:left w:w="100" w:type="dxa"/>
              <w:right w:w="100" w:type="dxa"/>
            </w:tcMar>
          </w:tcPr>
          <w:p>
            <w:pPr>
              <w:jc w:val="center"/>
            </w:pPr>
            <w:r>
              <w:rPr>
                <w:rFonts w:ascii="Calibri" w:hAnsi="Calibri"/>
                <w:color w:val="334155"/>
                <w:sz w:val="19"/>
              </w:rPr>
              <w:t>470</w:t>
            </w:r>
          </w:p>
        </w:tc>
        <w:tc>
          <w:tcPr>
            <w:tcW w:type="dxa" w:w="1656"/>
            <w:shd w:fill="F8FAFC"/>
            <w:tcMar>
              <w:top w:w="80" w:type="dxa"/>
              <w:bottom w:w="80" w:type="dxa"/>
              <w:left w:w="100" w:type="dxa"/>
              <w:right w:w="100" w:type="dxa"/>
            </w:tcMar>
          </w:tcPr>
          <w:p>
            <w:pPr>
              <w:jc w:val="center"/>
            </w:pPr>
            <w:r>
              <w:rPr>
                <w:rFonts w:ascii="Calibri" w:hAnsi="Calibri"/>
                <w:color w:val="334155"/>
                <w:sz w:val="19"/>
              </w:rPr>
              <w:t>63.05</w:t>
            </w:r>
          </w:p>
        </w:tc>
        <w:tc>
          <w:tcPr>
            <w:tcW w:type="dxa" w:w="1656"/>
            <w:shd w:fill="F8FAFC"/>
            <w:tcMar>
              <w:top w:w="80" w:type="dxa"/>
              <w:bottom w:w="80" w:type="dxa"/>
              <w:left w:w="100" w:type="dxa"/>
              <w:right w:w="100" w:type="dxa"/>
            </w:tcMar>
          </w:tcPr>
          <w:p>
            <w:pPr>
              <w:jc w:val="center"/>
            </w:pPr>
            <w:r>
              <w:rPr>
                <w:rFonts w:ascii="Calibri" w:hAnsi="Calibri"/>
                <w:color w:val="334155"/>
                <w:sz w:val="19"/>
              </w:rPr>
              <w:t>45.84</w:t>
            </w:r>
          </w:p>
        </w:tc>
      </w:tr>
      <w:tr>
        <w:tc>
          <w:tcPr>
            <w:tcW w:type="dxa" w:w="1656"/>
            <w:shd w:fill="FFFFFF"/>
            <w:tcMar>
              <w:top w:w="80" w:type="dxa"/>
              <w:bottom w:w="80" w:type="dxa"/>
              <w:left w:w="100" w:type="dxa"/>
              <w:right w:w="100" w:type="dxa"/>
            </w:tcMar>
          </w:tcPr>
          <w:p>
            <w:r>
              <w:rPr>
                <w:rFonts w:ascii="Calibri" w:hAnsi="Calibri"/>
                <w:color w:val="334155"/>
                <w:sz w:val="19"/>
              </w:rPr>
              <w:t>LoRA v1 (Actuel)</w:t>
            </w:r>
          </w:p>
        </w:tc>
        <w:tc>
          <w:tcPr>
            <w:tcW w:type="dxa" w:w="1656"/>
            <w:shd w:fill="FFFFFF"/>
            <w:tcMar>
              <w:top w:w="80" w:type="dxa"/>
              <w:bottom w:w="80" w:type="dxa"/>
              <w:left w:w="100" w:type="dxa"/>
              <w:right w:w="100" w:type="dxa"/>
            </w:tcMar>
          </w:tcPr>
          <w:p>
            <w:r>
              <w:rPr>
                <w:rFonts w:ascii="Calibri" w:hAnsi="Calibri"/>
                <w:color w:val="334155"/>
                <w:sz w:val="19"/>
              </w:rPr>
              <w:t>Validation V2 (processed_v2_val.json)</w:t>
            </w:r>
          </w:p>
        </w:tc>
        <w:tc>
          <w:tcPr>
            <w:tcW w:type="dxa" w:w="1656"/>
            <w:shd w:fill="FFFFFF"/>
            <w:tcMar>
              <w:top w:w="80" w:type="dxa"/>
              <w:bottom w:w="80" w:type="dxa"/>
              <w:left w:w="100" w:type="dxa"/>
              <w:right w:w="100" w:type="dxa"/>
            </w:tcMar>
          </w:tcPr>
          <w:p>
            <w:r>
              <w:rPr>
                <w:rFonts w:ascii="Calibri" w:hAnsi="Calibri"/>
                <w:color w:val="334155"/>
                <w:sz w:val="19"/>
              </w:rPr>
              <w:t>DYU ➔ FR</w:t>
            </w:r>
          </w:p>
        </w:tc>
        <w:tc>
          <w:tcPr>
            <w:tcW w:type="dxa" w:w="1656"/>
            <w:shd w:fill="FFFFFF"/>
            <w:tcMar>
              <w:top w:w="80" w:type="dxa"/>
              <w:bottom w:w="80" w:type="dxa"/>
              <w:left w:w="100" w:type="dxa"/>
              <w:right w:w="100" w:type="dxa"/>
            </w:tcMar>
          </w:tcPr>
          <w:p>
            <w:pPr>
              <w:jc w:val="center"/>
            </w:pPr>
            <w:r>
              <w:rPr>
                <w:rFonts w:ascii="Calibri" w:hAnsi="Calibri"/>
                <w:color w:val="334155"/>
                <w:sz w:val="19"/>
              </w:rPr>
              <w:t>470</w:t>
            </w:r>
          </w:p>
        </w:tc>
        <w:tc>
          <w:tcPr>
            <w:tcW w:type="dxa" w:w="1656"/>
            <w:shd w:fill="FFFFFF"/>
            <w:tcMar>
              <w:top w:w="80" w:type="dxa"/>
              <w:bottom w:w="80" w:type="dxa"/>
              <w:left w:w="100" w:type="dxa"/>
              <w:right w:w="100" w:type="dxa"/>
            </w:tcMar>
          </w:tcPr>
          <w:p>
            <w:pPr>
              <w:jc w:val="center"/>
            </w:pPr>
            <w:r>
              <w:rPr>
                <w:rFonts w:ascii="Calibri" w:hAnsi="Calibri"/>
                <w:color w:val="334155"/>
                <w:sz w:val="19"/>
              </w:rPr>
              <w:t>54.23</w:t>
            </w:r>
          </w:p>
        </w:tc>
        <w:tc>
          <w:tcPr>
            <w:tcW w:type="dxa" w:w="1656"/>
            <w:shd w:fill="FFFFFF"/>
            <w:tcMar>
              <w:top w:w="80" w:type="dxa"/>
              <w:bottom w:w="80" w:type="dxa"/>
              <w:left w:w="100" w:type="dxa"/>
              <w:right w:w="100" w:type="dxa"/>
            </w:tcMar>
          </w:tcPr>
          <w:p>
            <w:pPr>
              <w:jc w:val="center"/>
            </w:pPr>
            <w:r>
              <w:rPr>
                <w:rFonts w:ascii="Calibri" w:hAnsi="Calibri"/>
                <w:color w:val="334155"/>
                <w:sz w:val="19"/>
              </w:rPr>
              <w:t>31.27</w:t>
            </w:r>
          </w:p>
        </w:tc>
      </w:tr>
      <w:tr>
        <w:tc>
          <w:tcPr>
            <w:tcW w:type="dxa" w:w="1656"/>
            <w:shd w:fill="ECFDF5"/>
            <w:tcMar>
              <w:top w:w="80" w:type="dxa"/>
              <w:bottom w:w="80" w:type="dxa"/>
              <w:left w:w="100" w:type="dxa"/>
              <w:right w:w="100" w:type="dxa"/>
            </w:tcMar>
          </w:tcPr>
          <w:p>
            <w:r>
              <w:rPr>
                <w:rFonts w:ascii="Calibri" w:hAnsi="Calibri"/>
                <w:color w:val="334155"/>
                <w:sz w:val="19"/>
              </w:rPr>
              <w:t>LoRA v1 (Actuel)</w:t>
            </w:r>
          </w:p>
        </w:tc>
        <w:tc>
          <w:tcPr>
            <w:tcW w:type="dxa" w:w="1656"/>
            <w:shd w:fill="ECFDF5"/>
            <w:tcMar>
              <w:top w:w="80" w:type="dxa"/>
              <w:bottom w:w="80" w:type="dxa"/>
              <w:left w:w="100" w:type="dxa"/>
              <w:right w:w="100" w:type="dxa"/>
            </w:tcMar>
          </w:tcPr>
          <w:p>
            <w:r>
              <w:rPr>
                <w:rFonts w:ascii="Calibri" w:hAnsi="Calibri"/>
                <w:color w:val="334155"/>
                <w:sz w:val="19"/>
              </w:rPr>
              <w:t>Test Sacré (test_sacre.csv)</w:t>
            </w:r>
          </w:p>
        </w:tc>
        <w:tc>
          <w:tcPr>
            <w:tcW w:type="dxa" w:w="1656"/>
            <w:shd w:fill="ECFDF5"/>
            <w:tcMar>
              <w:top w:w="80" w:type="dxa"/>
              <w:bottom w:w="80" w:type="dxa"/>
              <w:left w:w="100" w:type="dxa"/>
              <w:right w:w="100" w:type="dxa"/>
            </w:tcMar>
          </w:tcPr>
          <w:p>
            <w:r>
              <w:rPr>
                <w:rFonts w:ascii="Calibri" w:hAnsi="Calibri"/>
                <w:color w:val="334155"/>
                <w:sz w:val="19"/>
              </w:rPr>
              <w:t>FR ➔ DYU</w:t>
            </w:r>
          </w:p>
        </w:tc>
        <w:tc>
          <w:tcPr>
            <w:tcW w:type="dxa" w:w="1656"/>
            <w:shd w:fill="ECFDF5"/>
            <w:tcMar>
              <w:top w:w="80" w:type="dxa"/>
              <w:bottom w:w="80" w:type="dxa"/>
              <w:left w:w="100" w:type="dxa"/>
              <w:right w:w="100" w:type="dxa"/>
            </w:tcMar>
          </w:tcPr>
          <w:p>
            <w:pPr>
              <w:jc w:val="center"/>
            </w:pPr>
            <w:r>
              <w:rPr>
                <w:rFonts w:ascii="Calibri" w:hAnsi="Calibri"/>
                <w:color w:val="334155"/>
                <w:sz w:val="19"/>
              </w:rPr>
              <w:t>144</w:t>
            </w:r>
          </w:p>
        </w:tc>
        <w:tc>
          <w:tcPr>
            <w:tcW w:type="dxa" w:w="1656"/>
            <w:shd w:fill="ECFDF5"/>
            <w:tcMar>
              <w:top w:w="80" w:type="dxa"/>
              <w:bottom w:w="80" w:type="dxa"/>
              <w:left w:w="100" w:type="dxa"/>
              <w:right w:w="100" w:type="dxa"/>
            </w:tcMar>
          </w:tcPr>
          <w:p>
            <w:pPr>
              <w:jc w:val="center"/>
            </w:pPr>
            <w:r>
              <w:rPr>
                <w:rFonts w:ascii="Calibri" w:hAnsi="Calibri"/>
                <w:b/>
                <w:color w:val="2563EB"/>
                <w:sz w:val="19"/>
              </w:rPr>
              <w:t>44.24</w:t>
            </w:r>
          </w:p>
        </w:tc>
        <w:tc>
          <w:tcPr>
            <w:tcW w:type="dxa" w:w="1656"/>
            <w:shd w:fill="ECFDF5"/>
            <w:tcMar>
              <w:top w:w="80" w:type="dxa"/>
              <w:bottom w:w="80" w:type="dxa"/>
              <w:left w:w="100" w:type="dxa"/>
              <w:right w:w="100" w:type="dxa"/>
            </w:tcMar>
          </w:tcPr>
          <w:p>
            <w:pPr>
              <w:jc w:val="center"/>
            </w:pPr>
            <w:r>
              <w:rPr>
                <w:rFonts w:ascii="Calibri" w:hAnsi="Calibri"/>
                <w:b/>
                <w:color w:val="2563EB"/>
                <w:sz w:val="19"/>
              </w:rPr>
              <w:t>29.14</w:t>
            </w:r>
          </w:p>
        </w:tc>
      </w:tr>
      <w:tr>
        <w:tc>
          <w:tcPr>
            <w:tcW w:type="dxa" w:w="1656"/>
            <w:shd w:fill="ECFDF5"/>
            <w:tcMar>
              <w:top w:w="80" w:type="dxa"/>
              <w:bottom w:w="80" w:type="dxa"/>
              <w:left w:w="100" w:type="dxa"/>
              <w:right w:w="100" w:type="dxa"/>
            </w:tcMar>
          </w:tcPr>
          <w:p>
            <w:r>
              <w:rPr>
                <w:rFonts w:ascii="Calibri" w:hAnsi="Calibri"/>
                <w:color w:val="334155"/>
                <w:sz w:val="19"/>
              </w:rPr>
              <w:t>LoRA v1 (Actuel)</w:t>
            </w:r>
          </w:p>
        </w:tc>
        <w:tc>
          <w:tcPr>
            <w:tcW w:type="dxa" w:w="1656"/>
            <w:shd w:fill="ECFDF5"/>
            <w:tcMar>
              <w:top w:w="80" w:type="dxa"/>
              <w:bottom w:w="80" w:type="dxa"/>
              <w:left w:w="100" w:type="dxa"/>
              <w:right w:w="100" w:type="dxa"/>
            </w:tcMar>
          </w:tcPr>
          <w:p>
            <w:r>
              <w:rPr>
                <w:rFonts w:ascii="Calibri" w:hAnsi="Calibri"/>
                <w:color w:val="334155"/>
                <w:sz w:val="19"/>
              </w:rPr>
              <w:t>Test Sacré (test_sacre.csv)</w:t>
            </w:r>
          </w:p>
        </w:tc>
        <w:tc>
          <w:tcPr>
            <w:tcW w:type="dxa" w:w="1656"/>
            <w:shd w:fill="ECFDF5"/>
            <w:tcMar>
              <w:top w:w="80" w:type="dxa"/>
              <w:bottom w:w="80" w:type="dxa"/>
              <w:left w:w="100" w:type="dxa"/>
              <w:right w:w="100" w:type="dxa"/>
            </w:tcMar>
          </w:tcPr>
          <w:p>
            <w:r>
              <w:rPr>
                <w:rFonts w:ascii="Calibri" w:hAnsi="Calibri"/>
                <w:color w:val="334155"/>
                <w:sz w:val="19"/>
              </w:rPr>
              <w:t>DYU ➔ FR</w:t>
            </w:r>
          </w:p>
        </w:tc>
        <w:tc>
          <w:tcPr>
            <w:tcW w:type="dxa" w:w="1656"/>
            <w:shd w:fill="ECFDF5"/>
            <w:tcMar>
              <w:top w:w="80" w:type="dxa"/>
              <w:bottom w:w="80" w:type="dxa"/>
              <w:left w:w="100" w:type="dxa"/>
              <w:right w:w="100" w:type="dxa"/>
            </w:tcMar>
          </w:tcPr>
          <w:p>
            <w:pPr>
              <w:jc w:val="center"/>
            </w:pPr>
            <w:r>
              <w:rPr>
                <w:rFonts w:ascii="Calibri" w:hAnsi="Calibri"/>
                <w:color w:val="334155"/>
                <w:sz w:val="19"/>
              </w:rPr>
              <w:t>144</w:t>
            </w:r>
          </w:p>
        </w:tc>
        <w:tc>
          <w:tcPr>
            <w:tcW w:type="dxa" w:w="1656"/>
            <w:shd w:fill="ECFDF5"/>
            <w:tcMar>
              <w:top w:w="80" w:type="dxa"/>
              <w:bottom w:w="80" w:type="dxa"/>
              <w:left w:w="100" w:type="dxa"/>
              <w:right w:w="100" w:type="dxa"/>
            </w:tcMar>
          </w:tcPr>
          <w:p>
            <w:pPr>
              <w:jc w:val="center"/>
            </w:pPr>
            <w:r>
              <w:rPr>
                <w:rFonts w:ascii="Calibri" w:hAnsi="Calibri"/>
                <w:b/>
                <w:color w:val="2563EB"/>
                <w:sz w:val="19"/>
              </w:rPr>
              <w:t>41.92</w:t>
            </w:r>
          </w:p>
        </w:tc>
        <w:tc>
          <w:tcPr>
            <w:tcW w:type="dxa" w:w="1656"/>
            <w:shd w:fill="ECFDF5"/>
            <w:tcMar>
              <w:top w:w="80" w:type="dxa"/>
              <w:bottom w:w="80" w:type="dxa"/>
              <w:left w:w="100" w:type="dxa"/>
              <w:right w:w="100" w:type="dxa"/>
            </w:tcMar>
          </w:tcPr>
          <w:p>
            <w:pPr>
              <w:jc w:val="center"/>
            </w:pPr>
            <w:r>
              <w:rPr>
                <w:rFonts w:ascii="Calibri" w:hAnsi="Calibri"/>
                <w:b/>
                <w:color w:val="2563EB"/>
                <w:sz w:val="19"/>
              </w:rPr>
              <w:t>19.71</w:t>
            </w:r>
          </w:p>
        </w:tc>
      </w:tr>
      <w:tr>
        <w:tc>
          <w:tcPr>
            <w:tcW w:type="dxa" w:w="1656"/>
            <w:shd w:fill="F8FAFC"/>
            <w:tcMar>
              <w:top w:w="80" w:type="dxa"/>
              <w:bottom w:w="80" w:type="dxa"/>
              <w:left w:w="100" w:type="dxa"/>
              <w:right w:w="100" w:type="dxa"/>
            </w:tcMar>
          </w:tcPr>
          <w:p>
            <w:r>
              <w:rPr>
                <w:rFonts w:ascii="Calibri" w:hAnsi="Calibri"/>
                <w:color w:val="334155"/>
                <w:sz w:val="19"/>
              </w:rPr>
              <w:t>LoRA v2 (160d1a9)</w:t>
            </w:r>
          </w:p>
        </w:tc>
        <w:tc>
          <w:tcPr>
            <w:tcW w:type="dxa" w:w="1656"/>
            <w:shd w:fill="F8FAFC"/>
            <w:tcMar>
              <w:top w:w="80" w:type="dxa"/>
              <w:bottom w:w="80" w:type="dxa"/>
              <w:left w:w="100" w:type="dxa"/>
              <w:right w:w="100" w:type="dxa"/>
            </w:tcMar>
          </w:tcPr>
          <w:p>
            <w:r>
              <w:rPr>
                <w:rFonts w:ascii="Calibri" w:hAnsi="Calibri"/>
                <w:color w:val="334155"/>
                <w:sz w:val="19"/>
              </w:rPr>
              <w:t>Validation V2 &amp; Test Sacré</w:t>
            </w:r>
          </w:p>
        </w:tc>
        <w:tc>
          <w:tcPr>
            <w:tcW w:type="dxa" w:w="1656"/>
            <w:shd w:fill="F8FAFC"/>
            <w:tcMar>
              <w:top w:w="80" w:type="dxa"/>
              <w:bottom w:w="80" w:type="dxa"/>
              <w:left w:w="100" w:type="dxa"/>
              <w:right w:w="100" w:type="dxa"/>
            </w:tcMar>
          </w:tcPr>
          <w:p>
            <w:r>
              <w:rPr>
                <w:rFonts w:ascii="Calibri" w:hAnsi="Calibri"/>
                <w:color w:val="334155"/>
                <w:sz w:val="19"/>
              </w:rPr>
              <w:t>FR ↔ DYU</w:t>
            </w:r>
          </w:p>
        </w:tc>
        <w:tc>
          <w:tcPr>
            <w:tcW w:type="dxa" w:w="1656"/>
            <w:shd w:fill="F8FAFC"/>
            <w:tcMar>
              <w:top w:w="80" w:type="dxa"/>
              <w:bottom w:w="80" w:type="dxa"/>
              <w:left w:w="100" w:type="dxa"/>
              <w:right w:w="100" w:type="dxa"/>
            </w:tcMar>
          </w:tcPr>
          <w:p>
            <w:pPr>
              <w:jc w:val="center"/>
            </w:pPr>
            <w:r>
              <w:rPr>
                <w:rFonts w:ascii="Calibri" w:hAnsi="Calibri"/>
                <w:color w:val="334155"/>
                <w:sz w:val="19"/>
              </w:rPr>
              <w:t>—</w:t>
            </w:r>
          </w:p>
        </w:tc>
        <w:tc>
          <w:tcPr>
            <w:tcW w:type="dxa" w:w="1656"/>
            <w:shd w:fill="F8FAFC"/>
            <w:tcMar>
              <w:top w:w="80" w:type="dxa"/>
              <w:bottom w:w="80" w:type="dxa"/>
              <w:left w:w="100" w:type="dxa"/>
              <w:right w:w="100" w:type="dxa"/>
            </w:tcMar>
          </w:tcPr>
          <w:p>
            <w:pPr>
              <w:jc w:val="center"/>
            </w:pPr>
            <w:r>
              <w:rPr>
                <w:rFonts w:ascii="Calibri" w:hAnsi="Calibri"/>
                <w:color w:val="334155"/>
                <w:sz w:val="19"/>
              </w:rPr>
              <w:t>En cours</w:t>
            </w:r>
          </w:p>
        </w:tc>
        <w:tc>
          <w:tcPr>
            <w:tcW w:type="dxa" w:w="1656"/>
            <w:shd w:fill="F8FAFC"/>
            <w:tcMar>
              <w:top w:w="80" w:type="dxa"/>
              <w:bottom w:w="80" w:type="dxa"/>
              <w:left w:w="100" w:type="dxa"/>
              <w:right w:w="100" w:type="dxa"/>
            </w:tcMar>
          </w:tcPr>
          <w:p>
            <w:pPr>
              <w:jc w:val="center"/>
            </w:pPr>
            <w:r>
              <w:rPr>
                <w:rFonts w:ascii="Calibri" w:hAnsi="Calibri"/>
                <w:color w:val="334155"/>
                <w:sz w:val="19"/>
              </w:rPr>
              <w:t>En cours</w:t>
            </w:r>
          </w:p>
        </w:tc>
      </w:tr>
    </w:tbl>
    <w:p>
      <w:pPr>
        <w:spacing w:after="160"/>
      </w:pPr>
    </w:p>
    <w:p>
      <w:pPr>
        <w:spacing w:before="320" w:after="120"/>
      </w:pPr>
      <w:r>
        <w:rPr>
          <w:rFonts w:ascii="Calibri" w:hAnsi="Calibri"/>
          <w:b/>
          <w:color w:val="0F172A"/>
          <w:sz w:val="30"/>
        </w:rPr>
        <w:t>3. Analyse Comparative &amp; Interprétation des Métriques</w:t>
      </w:r>
    </w:p>
    <w:p>
      <w:pPr>
        <w:pStyle w:val="ListBullet"/>
        <w:spacing w:before="0" w:after="80" w:line="276" w:lineRule="auto"/>
      </w:pPr>
      <w:r>
        <w:rPr>
          <w:rFonts w:ascii="Calibri" w:hAnsi="Calibri"/>
          <w:b/>
          <w:color w:val="0F172A"/>
          <w:sz w:val="22"/>
        </w:rPr>
        <w:t xml:space="preserve">Spécificité du Domaine Biblique (Val V2) : </w:t>
      </w:r>
      <w:r>
        <w:rPr>
          <w:rFonts w:ascii="Calibri" w:hAnsi="Calibri"/>
          <w:color w:val="334155"/>
          <w:sz w:val="22"/>
        </w:rPr>
        <w:t>Le modèle NLLB Zero-Shot atteint un score élevé de 44.63 BLEU sur Val V2. Cela s'explique par le fait que le corpus Val V2 contient une forte proportion de versets bibliques (ressource R008) déjà partiellement présents dans le pré-entraînement initial de Meta.</w:t>
      </w:r>
    </w:p>
    <w:p>
      <w:pPr>
        <w:pStyle w:val="ListBullet"/>
        <w:spacing w:before="0" w:after="80" w:line="276" w:lineRule="auto"/>
      </w:pPr>
      <w:r>
        <w:rPr>
          <w:rFonts w:ascii="Calibri" w:hAnsi="Calibri"/>
          <w:b/>
          <w:color w:val="0F172A"/>
          <w:sz w:val="22"/>
        </w:rPr>
        <w:t xml:space="preserve">Démonstration du Gain sur le Domaine Conversational (Test Sacré) : </w:t>
      </w:r>
      <w:r>
        <w:rPr>
          <w:rFonts w:ascii="Calibri" w:hAnsi="Calibri"/>
          <w:color w:val="334155"/>
          <w:sz w:val="22"/>
        </w:rPr>
        <w:t>La preuve de l'efficacité du fine-tuning LoRA s'exprime pleinement sur le Test Sacré (144 phrases quotidiennes : salutations, commerce, santé). Le score BLEU bondit de 12.03 à 29.14 en FR ➔ DYU (+17.11 points BLEU) et le chrF++ monte de 33.76 à 44.24.</w:t>
      </w:r>
    </w:p>
    <w:p>
      <w:pPr>
        <w:spacing w:before="320" w:after="120"/>
      </w:pPr>
      <w:r>
        <w:rPr>
          <w:rFonts w:ascii="Calibri" w:hAnsi="Calibri"/>
          <w:b/>
          <w:color w:val="0F172A"/>
          <w:sz w:val="30"/>
        </w:rPr>
        <w:t>4. Contrôle d'Étanchéité Anti-Fuite (Anti-Data Leakage)</w:t>
      </w:r>
    </w:p>
    <w:p>
      <w:pPr>
        <w:spacing w:before="0" w:after="120" w:line="276" w:lineRule="auto"/>
      </w:pPr>
      <w:r>
        <w:rPr>
          <w:rFonts w:ascii="Calibri" w:hAnsi="Calibri"/>
          <w:color w:val="334155"/>
          <w:sz w:val="22"/>
        </w:rPr>
        <w:t>Afin d'éviter tout sur-apprentissage artificiel ou fuite de données entre le jeu de test et le corpus d'entraînement, le protocole V2 a mis en œuvre un filtrage strict :</w:t>
      </w:r>
    </w:p>
    <w:p>
      <w:pPr>
        <w:pStyle w:val="ListBullet"/>
        <w:spacing w:before="0" w:after="80" w:line="276" w:lineRule="auto"/>
      </w:pPr>
      <w:r>
        <w:rPr>
          <w:rFonts w:ascii="Calibri" w:hAnsi="Calibri"/>
          <w:b/>
          <w:color w:val="0F172A"/>
          <w:sz w:val="22"/>
        </w:rPr>
        <w:t xml:space="preserve">Identification des empreintes : </w:t>
      </w:r>
      <w:r>
        <w:rPr>
          <w:rFonts w:ascii="Calibri" w:hAnsi="Calibri"/>
          <w:color w:val="334155"/>
          <w:sz w:val="22"/>
        </w:rPr>
        <w:t>Le script prepare_dataset_v2.py génère 287 empreintes orthographiques uniques issues des 144 phrases du Test Sacré.</w:t>
      </w:r>
    </w:p>
    <w:p>
      <w:pPr>
        <w:pStyle w:val="ListBullet"/>
        <w:spacing w:before="0" w:after="80" w:line="276" w:lineRule="auto"/>
      </w:pPr>
      <w:r>
        <w:rPr>
          <w:rFonts w:ascii="Calibri" w:hAnsi="Calibri"/>
          <w:b/>
          <w:color w:val="0F172A"/>
          <w:sz w:val="22"/>
        </w:rPr>
        <w:t xml:space="preserve">Filtrage &amp; Exclusion V2 : </w:t>
      </w:r>
      <w:r>
        <w:rPr>
          <w:rFonts w:ascii="Calibri" w:hAnsi="Calibri"/>
          <w:color w:val="334155"/>
          <w:sz w:val="22"/>
        </w:rPr>
        <w:t>425 occurrences exactes des phrases du test ont été exclues des corpus train/val.</w:t>
      </w:r>
    </w:p>
    <w:p>
      <w:pPr>
        <w:pStyle w:val="ListBullet"/>
        <w:spacing w:before="0" w:after="80" w:line="276" w:lineRule="auto"/>
      </w:pPr>
      <w:r>
        <w:rPr>
          <w:rFonts w:ascii="Calibri" w:hAnsi="Calibri"/>
          <w:b/>
          <w:color w:val="0F172A"/>
          <w:sz w:val="22"/>
        </w:rPr>
        <w:t xml:space="preserve">Certification par check_test_leakage.py : </w:t>
      </w:r>
      <w:r>
        <w:rPr>
          <w:rFonts w:ascii="Calibri" w:hAnsi="Calibri"/>
          <w:color w:val="334155"/>
          <w:sz w:val="22"/>
        </w:rPr>
        <w:t>L'exécution du script de contrôle sur processed_v2_train.json et processed_v2_val.json confirme 0 fuite exacte FR, 0 fuite exacte DYU et 0 quasi-doublons flous (Étanchéité 100% certifiée).</w:t>
      </w:r>
    </w:p>
    <w:p>
      <w:pPr>
        <w:spacing w:before="320" w:after="120"/>
      </w:pPr>
      <w:r>
        <w:rPr>
          <w:rFonts w:ascii="Calibri" w:hAnsi="Calibri"/>
          <w:b/>
          <w:color w:val="0F172A"/>
          <w:sz w:val="30"/>
        </w:rPr>
        <w:t>5. Pipeline Hybride (RAG + Post-Processing)</w:t>
      </w:r>
    </w:p>
    <w:p>
      <w:pPr>
        <w:spacing w:before="0" w:after="120" w:line="276" w:lineRule="auto"/>
      </w:pPr>
      <w:r>
        <w:rPr>
          <w:rFonts w:ascii="Calibri" w:hAnsi="Calibri"/>
          <w:color w:val="334155"/>
          <w:sz w:val="22"/>
        </w:rPr>
        <w:t>Le service de traduction API (api/translation_service.py) intègre une architecture hybride à deux niveaux activée par défaut :</w:t>
      </w:r>
    </w:p>
    <w:p>
      <w:pPr>
        <w:pStyle w:val="ListBullet"/>
        <w:spacing w:before="0" w:after="80" w:line="276" w:lineRule="auto"/>
      </w:pPr>
      <w:r>
        <w:rPr>
          <w:rFonts w:ascii="Calibri" w:hAnsi="Calibri"/>
          <w:b/>
          <w:color w:val="0F172A"/>
          <w:sz w:val="22"/>
        </w:rPr>
        <w:t xml:space="preserve">Niveau 1 — RAG / Context Injection (_get_rag_hints) : </w:t>
      </w:r>
      <w:r>
        <w:rPr>
          <w:rFonts w:ascii="Calibri" w:hAnsi="Calibri"/>
          <w:color w:val="334155"/>
          <w:sz w:val="22"/>
        </w:rPr>
        <w:t>Détection automatique des termes clés du glossaire dans le texte d'entrée et injection sous forme d'indices dans le prompt d'entrée de NLLB.</w:t>
      </w:r>
    </w:p>
    <w:p>
      <w:pPr>
        <w:pStyle w:val="ListBullet"/>
        <w:spacing w:before="0" w:after="80" w:line="276" w:lineRule="auto"/>
      </w:pPr>
      <w:r>
        <w:rPr>
          <w:rFonts w:ascii="Calibri" w:hAnsi="Calibri"/>
          <w:b/>
          <w:color w:val="0F172A"/>
          <w:sz w:val="22"/>
        </w:rPr>
        <w:t xml:space="preserve">Niveau 2 — Post-Processing Intelligent (_post_process) : </w:t>
      </w:r>
      <w:r>
        <w:rPr>
          <w:rFonts w:ascii="Calibri" w:hAnsi="Calibri"/>
          <w:color w:val="334155"/>
          <w:sz w:val="22"/>
        </w:rPr>
        <w:t>Correction après génération pour appliquer les expressions figées (ex: salutations) et réécrire les hallucinations systématiques (ex: conversion de 'Bonya' en 'Aw ni sɔgɔma').</w:t>
      </w:r>
    </w:p>
    <w:p>
      <w:pPr>
        <w:spacing w:before="320" w:after="120"/>
      </w:pPr>
      <w:r>
        <w:rPr>
          <w:rFonts w:ascii="Calibri" w:hAnsi="Calibri"/>
          <w:b/>
          <w:color w:val="0F172A"/>
          <w:sz w:val="30"/>
        </w:rPr>
        <w:t>6. Synthèse des Correctifs Poussés sur 'dev' (HEAD 66a83a5)</w:t>
      </w:r>
    </w:p>
    <w:p>
      <w:pPr>
        <w:pStyle w:val="ListBullet"/>
        <w:spacing w:before="0" w:after="80" w:line="276" w:lineRule="auto"/>
      </w:pPr>
      <w:r>
        <w:rPr>
          <w:rFonts w:ascii="Calibri" w:hAnsi="Calibri"/>
          <w:b/>
          <w:color w:val="0F172A"/>
          <w:sz w:val="22"/>
        </w:rPr>
        <w:t xml:space="preserve">api/translation_service.py : </w:t>
      </w:r>
      <w:r>
        <w:rPr>
          <w:rFonts w:ascii="Calibri" w:hAnsi="Calibri"/>
          <w:color w:val="334155"/>
          <w:sz w:val="22"/>
        </w:rPr>
        <w:t>Configuration du chargement HF distant avec la révision 160d1a9 par défaut.</w:t>
      </w:r>
    </w:p>
    <w:p>
      <w:pPr>
        <w:pStyle w:val="ListBullet"/>
        <w:spacing w:before="0" w:after="80" w:line="276" w:lineRule="auto"/>
      </w:pPr>
      <w:r>
        <w:rPr>
          <w:rFonts w:ascii="Calibri" w:hAnsi="Calibri"/>
          <w:b/>
          <w:color w:val="0F172A"/>
          <w:sz w:val="22"/>
        </w:rPr>
        <w:t xml:space="preserve">scripts/prepare_dataset_v2.py : </w:t>
      </w:r>
      <w:r>
        <w:rPr>
          <w:rFonts w:ascii="Calibri" w:hAnsi="Calibri"/>
          <w:color w:val="334155"/>
          <w:sz w:val="22"/>
        </w:rPr>
        <w:t>Correction du double filtre FR/DYU pour les custom idioms.</w:t>
      </w:r>
    </w:p>
    <w:p>
      <w:pPr>
        <w:pStyle w:val="ListBullet"/>
        <w:spacing w:before="0" w:after="80" w:line="276" w:lineRule="auto"/>
      </w:pPr>
      <w:r>
        <w:rPr>
          <w:rFonts w:ascii="Calibri" w:hAnsi="Calibri"/>
          <w:b/>
          <w:color w:val="0F172A"/>
          <w:sz w:val="22"/>
        </w:rPr>
        <w:t xml:space="preserve">scripts/check_test_leakage.py : </w:t>
      </w:r>
      <w:r>
        <w:rPr>
          <w:rFonts w:ascii="Calibri" w:hAnsi="Calibri"/>
          <w:color w:val="334155"/>
          <w:sz w:val="22"/>
        </w:rPr>
        <w:t>Support natif des structures JSON v2 pour la vérification automatique.</w:t>
      </w:r>
    </w:p>
    <w:p>
      <w:pPr>
        <w:pStyle w:val="ListBullet"/>
        <w:spacing w:before="0" w:after="80" w:line="276" w:lineRule="auto"/>
      </w:pPr>
      <w:r>
        <w:rPr>
          <w:rFonts w:ascii="Calibri" w:hAnsi="Calibri"/>
          <w:b/>
          <w:color w:val="0F172A"/>
          <w:sz w:val="22"/>
        </w:rPr>
        <w:t xml:space="preserve">README.md : </w:t>
      </w:r>
      <w:r>
        <w:rPr>
          <w:rFonts w:ascii="Calibri" w:hAnsi="Calibri"/>
          <w:color w:val="334155"/>
          <w:sz w:val="22"/>
        </w:rPr>
        <w:t>Harmonisation complète des tableaux avec data/baselines_results.tsv, nettoyage des URLs absolues file:/// et mise à jour de l'arborescence.</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