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版本：v1.0.10</w:t>
        <w:br/>
        <w:t>适用对象：日常出差发票整理、汇总、打印及归档人员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汇总清单、打印与 Excel 归档</w:t>
      </w:r>
    </w:p>
    <w:p>
      <w:pPr>
        <w:pStyle w:val="ListBullet"/>
      </w:pPr>
      <w:r>
        <w:t>7. 设置：打印机、开机自启动与报销周期闪烁</w:t>
      </w:r>
    </w:p>
    <w:p>
      <w:pPr>
        <w:pStyle w:val="ListBullet"/>
      </w:pPr>
      <w:r>
        <w:t>8. 异常处理与常见问题</w:t>
      </w:r>
    </w:p>
    <w:p>
      <w:pPr>
        <w:pStyle w:val="ListBullet"/>
      </w:pPr>
      <w:r>
        <w:t>9. 数据、域控部署与使用注意事项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识别高速通行费电子发票的发票号码并避免误用发票代码；高速通行费行程单将与对应发票使用同一发票号码命名。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出差单填写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打开公司出差单填写入口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需要网络及相应登录权限。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无法取得发票号码时会加入【异常需人工符合】标识。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点击“填写补贴/出租车”后显示。系统自动写入的列不可修改；“出租车费用”“在途”“出差补贴”允许填写。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汇总清单、打印与 Excel 归档</w:t>
      </w:r>
    </w:p>
    <w:p>
      <w:pPr>
        <w:pStyle w:val="Heading2"/>
      </w:pPr>
      <w:r>
        <w:t>6.1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6.2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6.3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6.4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7. 设置：打印机、开机自启动与报销周期闪烁</w:t>
      </w:r>
    </w:p>
    <w:p>
      <w:pPr>
        <w:pStyle w:val="Heading2"/>
      </w:pPr>
      <w:r>
        <w:t>7.1 打开设置</w:t>
      </w:r>
    </w:p>
    <w:p>
      <w:r>
        <w:t>从顶部菜单选择“设定”，打印机、开机自启动和报销周期闪烁均通过独立设定弹窗进行配置。</w:t>
      </w:r>
    </w:p>
    <w:p>
      <w:pPr>
        <w:pStyle w:val="Heading2"/>
      </w:pPr>
      <w:r>
        <w:t>7.2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7.3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2"/>
      </w:pPr>
      <w:r>
        <w:t>7.4 报销周期提醒闪烁</w:t>
      </w:r>
    </w:p>
    <w:p>
      <w:pPr>
        <w:pStyle w:val="ListBullet"/>
      </w:pPr>
      <w:r>
        <w:t>从顶部菜单选择“设定 → 报销周期闪烁设定”。</w:t>
      </w:r>
    </w:p>
    <w:p>
      <w:pPr>
        <w:pStyle w:val="ListBullet"/>
      </w:pPr>
      <w:r>
        <w:t>勾选“开启报销周期提醒闪烁”后，报销截止日期剩余 10 天或更少时，顶部提醒会闪烁。</w:t>
      </w:r>
    </w:p>
    <w:p>
      <w:pPr>
        <w:pStyle w:val="ListBullet"/>
      </w:pPr>
      <w:r>
        <w:t>取消勾选即可关闭闪烁；红色临界提醒仍会保留。设置会自动保存。</w:t>
      </w:r>
    </w:p>
    <w:p>
      <w:pPr>
        <w:pStyle w:val="Heading1"/>
      </w:pPr>
      <w:r>
        <w:t>8.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高速票文件名使用发票代码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旧版本或旧处理结果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重新使用更新后的程序处理；以票面“发票号码”为准。</w:t>
            </w:r>
          </w:p>
        </w:tc>
      </w:tr>
    </w:tbl>
    <w:p/>
    <w:p>
      <w:pPr>
        <w:pStyle w:val="Heading1"/>
      </w:pPr>
      <w:r>
        <w:t>9. 数据、域控部署与使用注意事项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>
      <w:pPr>
        <w:pStyle w:val="ListBullet"/>
      </w:pPr>
      <w:r>
        <w:t>域控环境重新打包时，必须在纯英文且无空格的项目路径执行；EXE 文件名必须以 SYNTEC 开头，且禁止启用 UPX 压缩。</w:t>
      </w:r>
    </w:p>
    <w:p>
      <w:pPr>
        <w:pStyle w:val="ListBullet"/>
      </w:pPr>
      <w:r>
        <w:t>发布包版本信息的 CompanyName 与 LegalCopyright 必须包含 SYNTEC，语言代码应使用中性配置 000004B0 / [0, 1200]；打包后确认 _internal 中存在 Python DLL 与 _ctypes 扩展。</w:t>
      </w:r>
    </w:p>
    <w:p>
      <w:pPr>
        <w:pStyle w:val="ListBullet"/>
      </w:pPr>
      <w:r>
        <w:t>域控环境中不要以 ctypes 调用 Windows API 隐藏控制台；GUI 程序应使用 PyInstaller 的 --windowed 参数。</w:t>
      </w:r>
    </w:p>
    <w:p/>
    <w:p>
      <w:pPr>
        <w:jc w:val="right"/>
      </w:pPr>
      <w:r>
        <w:rPr>
          <w:color w:val="6B6257"/>
        </w:rPr>
        <w:t>文档版本：v1.0.10　　生成日期：2026-08-20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