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69473" w14:textId="77777777" w:rsidR="009510F3" w:rsidRDefault="009510F3" w:rsidP="009510F3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9A2">
        <w:rPr>
          <w:rFonts w:ascii="Times New Roman" w:hAnsi="Times New Roman" w:cs="Times New Roman"/>
          <w:sz w:val="24"/>
          <w:szCs w:val="24"/>
        </w:rPr>
        <w:t>Note S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419A2">
        <w:rPr>
          <w:rFonts w:ascii="Times New Roman" w:hAnsi="Times New Roman" w:cs="Times New Roman"/>
          <w:sz w:val="24"/>
          <w:szCs w:val="24"/>
        </w:rPr>
        <w:t xml:space="preserve"> | Parameter bounds and bounded decoding (Table S1)</w:t>
      </w:r>
    </w:p>
    <w:p w14:paraId="2039B368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To ensure physically meaningful impedance fits and to stabilize both the classical and quantum optimization branches, all circuit parameters were constrained to predefined bounds and accessed through a </w:t>
      </w:r>
      <w:r w:rsidRPr="001419A2">
        <w:rPr>
          <w:rStyle w:val="a4"/>
          <w:rFonts w:ascii="Times New Roman" w:hAnsi="Times New Roman" w:cs="Times New Roman"/>
        </w:rPr>
        <w:t>bounded decoding</w:t>
      </w:r>
      <w:r w:rsidRPr="001419A2">
        <w:rPr>
          <w:rFonts w:ascii="Times New Roman" w:hAnsi="Times New Roman" w:cs="Times New Roman"/>
        </w:rPr>
        <w:t xml:space="preserve"> map. The MXene EIS model uses seven parameter</w:t>
      </w:r>
      <w:r>
        <w:rPr>
          <w:rFonts w:ascii="Times New Roman" w:hAnsi="Times New Roman" w:cs="Times New Roman"/>
        </w:rPr>
        <w:t>s: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1419A2">
        <w:rPr>
          <w:rFonts w:ascii="Times New Roman" w:hAnsi="Times New Roman" w:cs="Times New Roman"/>
        </w:rPr>
        <w:t xml:space="preserve">in the equivalent circuit </w:t>
      </w:r>
      <m:oMath>
        <m:r>
          <w:rPr>
            <w:rFonts w:ascii="Cambria Math" w:hAnsi="Cambria Math" w:cs="Times New Roman"/>
          </w:rPr>
          <m:t>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</m:oMath>
      <w:r w:rsidRPr="001419A2">
        <w:rPr>
          <w:rFonts w:ascii="Times New Roman" w:hAnsi="Times New Roman" w:cs="Times New Roman"/>
        </w:rPr>
        <w:t>(</w:t>
      </w:r>
      <w:r w:rsidRPr="0010204E">
        <w:rPr>
          <w:rFonts w:ascii="Times New Roman" w:hAnsi="Times New Roman" w:cs="Times New Roman"/>
          <w:b/>
          <w:bCs/>
        </w:rPr>
        <w:t>Note S1</w:t>
      </w:r>
      <w:r w:rsidRPr="001419A2">
        <w:rPr>
          <w:rFonts w:ascii="Times New Roman" w:hAnsi="Times New Roman" w:cs="Times New Roman"/>
        </w:rPr>
        <w:t xml:space="preserve">). Each parameter has a clear physical interpretation and admissible range. The purpose of </w:t>
      </w:r>
      <w:r w:rsidRPr="0010204E">
        <w:rPr>
          <w:rFonts w:ascii="Times New Roman" w:hAnsi="Times New Roman" w:cs="Times New Roman"/>
          <w:b/>
          <w:bCs/>
        </w:rPr>
        <w:t>Table S1</w:t>
      </w:r>
      <w:r w:rsidRPr="001419A2">
        <w:rPr>
          <w:rFonts w:ascii="Times New Roman" w:hAnsi="Times New Roman" w:cs="Times New Roman"/>
        </w:rPr>
        <w:t xml:space="preserve"> is therefore twofold: (</w:t>
      </w:r>
      <w:proofErr w:type="spellStart"/>
      <w:r w:rsidRPr="001419A2">
        <w:rPr>
          <w:rFonts w:ascii="Times New Roman" w:hAnsi="Times New Roman" w:cs="Times New Roman"/>
        </w:rPr>
        <w:t>i</w:t>
      </w:r>
      <w:proofErr w:type="spellEnd"/>
      <w:r w:rsidRPr="001419A2">
        <w:rPr>
          <w:rFonts w:ascii="Times New Roman" w:hAnsi="Times New Roman" w:cs="Times New Roman"/>
        </w:rPr>
        <w:t xml:space="preserve">) to define </w:t>
      </w:r>
      <w:r w:rsidRPr="001419A2">
        <w:rPr>
          <w:rStyle w:val="a4"/>
          <w:rFonts w:ascii="Times New Roman" w:hAnsi="Times New Roman" w:cs="Times New Roman"/>
        </w:rPr>
        <w:t>physically plausible</w:t>
      </w:r>
      <w:r w:rsidRPr="001419A2">
        <w:rPr>
          <w:rFonts w:ascii="Times New Roman" w:hAnsi="Times New Roman" w:cs="Times New Roman"/>
        </w:rPr>
        <w:t xml:space="preserve"> ranges that prevent non-sense solutions (e.g., negative resistances, </w:t>
      </w:r>
      <m:oMath>
        <m:r>
          <w:rPr>
            <w:rStyle w:val="katex-mathml"/>
            <w:rFonts w:ascii="Cambria Math" w:hAnsi="Cambria Math" w:cs="Times New Roman"/>
          </w:rPr>
          <m:t>α&gt;1</m:t>
        </m:r>
      </m:oMath>
      <w:r w:rsidRPr="001419A2">
        <w:rPr>
          <w:rFonts w:ascii="Times New Roman" w:hAnsi="Times New Roman" w:cs="Times New Roman"/>
        </w:rPr>
        <w:t>), and (ii) to provide a single, consistent decoding rule used by all solvers (classical NLLS, VQE/VQA, and QAOA).</w:t>
      </w:r>
    </w:p>
    <w:p w14:paraId="60A45606" w14:textId="77777777" w:rsidR="009510F3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3</w:t>
      </w:r>
      <w:r w:rsidRPr="001419A2">
        <w:rPr>
          <w:rStyle w:val="a3"/>
          <w:rFonts w:ascii="Times New Roman" w:hAnsi="Times New Roman" w:cs="Times New Roman"/>
        </w:rPr>
        <w:t>.1 Motivation for bounded domains.</w:t>
      </w:r>
    </w:p>
    <w:p w14:paraId="1B851BB1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EIS fitting for heterogeneous electrodes is often ill-conditioned because multiple parameter combinations can produce nearly indistinguishable spectra, particularly when constant phase elements are used. Unbounded optimization can drift into extreme values (e.g., </w:t>
      </w:r>
      <m:oMath>
        <m:r>
          <w:rPr>
            <w:rStyle w:val="katex-mathml"/>
            <w:rFonts w:ascii="Cambria Math" w:hAnsi="Cambria Math" w:cs="Times New Roman"/>
          </w:rPr>
          <m:t>Q→0</m:t>
        </m:r>
      </m:oMath>
      <w:r w:rsidRPr="001419A2">
        <w:rPr>
          <w:rFonts w:ascii="Times New Roman" w:hAnsi="Times New Roman" w:cs="Times New Roman"/>
        </w:rPr>
        <w:t xml:space="preserve"> with compensatory shifts in </w:t>
      </w:r>
      <m:oMath>
        <m:r>
          <w:rPr>
            <w:rStyle w:val="katex-mathml"/>
            <w:rFonts w:ascii="Cambria Math" w:hAnsi="Cambria Math" w:cs="Times New Roman"/>
          </w:rPr>
          <m:t>α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1419A2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</m:oMath>
      <w:r w:rsidRPr="001419A2">
        <w:rPr>
          <w:rFonts w:ascii="Times New Roman" w:hAnsi="Times New Roman" w:cs="Times New Roman"/>
        </w:rPr>
        <w:t xml:space="preserve">), which yields good numerical SSE but violates electrochemical meaning. Bounding controls such degeneracies, improves convergence, and makes solver outputs comparable. We therefore enforce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Pr="001419A2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Pr="001419A2">
        <w:rPr>
          <w:rFonts w:ascii="Times New Roman" w:hAnsi="Times New Roman" w:cs="Times New Roman"/>
        </w:rPr>
        <w:t xml:space="preserve">, </w:t>
      </w:r>
      <m:oMath>
        <m:r>
          <w:rPr>
            <w:rStyle w:val="katex-mathml"/>
            <w:rFonts w:ascii="Cambria Math" w:hAnsi="Cambria Math" w:cs="Times New Roman"/>
          </w:rPr>
          <m:t>L≥0</m:t>
        </m:r>
      </m:oMath>
      <w:r w:rsidRPr="001419A2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Q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1,2</m:t>
            </m:r>
          </m:sub>
        </m:sSub>
        <m:r>
          <w:rPr>
            <w:rStyle w:val="katex-mathml"/>
            <w:rFonts w:ascii="Cambria Math" w:hAnsi="Cambria Math" w:cs="Times New Roman"/>
          </w:rPr>
          <m:t>&gt;0</m:t>
        </m:r>
      </m:oMath>
      <w:r w:rsidRPr="001419A2">
        <w:rPr>
          <w:rFonts w:ascii="Times New Roman" w:hAnsi="Times New Roman" w:cs="Times New Roman"/>
        </w:rPr>
        <w:t xml:space="preserve">, and </w:t>
      </w:r>
      <m:oMath>
        <m:r>
          <w:rPr>
            <w:rStyle w:val="katex-mathml"/>
            <w:rFonts w:ascii="Cambria Math" w:hAnsi="Cambria Math" w:cs="Times New Roman"/>
          </w:rPr>
          <m:t>0&lt;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1,2</m:t>
            </m:r>
          </m:sub>
        </m:sSub>
        <m:r>
          <w:rPr>
            <w:rStyle w:val="katex-mathml"/>
            <w:rFonts w:ascii="Cambria Math" w:hAnsi="Cambria Math" w:cs="Times New Roman"/>
          </w:rPr>
          <m:t>≤1</m:t>
        </m:r>
      </m:oMath>
      <w:r w:rsidRPr="001419A2">
        <w:rPr>
          <w:rFonts w:ascii="Times New Roman" w:hAnsi="Times New Roman" w:cs="Times New Roman"/>
        </w:rPr>
        <w:t>. For parameters spanning orders of magnitude (</w:t>
      </w:r>
      <m:oMath>
        <m:r>
          <w:rPr>
            <w:rFonts w:ascii="Cambria Math" w:hAnsi="Cambria Math" w:cs="Times New Roman"/>
          </w:rPr>
          <m:t>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1419A2">
        <w:rPr>
          <w:rFonts w:ascii="Times New Roman" w:hAnsi="Times New Roman" w:cs="Times New Roman"/>
        </w:rPr>
        <w:t>), bounds are specified on a log scale to avoid biasing the search toward large values.</w:t>
      </w:r>
    </w:p>
    <w:p w14:paraId="5C842446" w14:textId="77777777" w:rsidR="009510F3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3</w:t>
      </w:r>
      <w:r w:rsidRPr="001419A2">
        <w:rPr>
          <w:rStyle w:val="a3"/>
          <w:rFonts w:ascii="Times New Roman" w:hAnsi="Times New Roman" w:cs="Times New Roman"/>
        </w:rPr>
        <w:t>.2 Normalized solver coordinates and decoding.</w:t>
      </w:r>
    </w:p>
    <w:p w14:paraId="54707C80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All optimizers operate on a normalized coordinate vector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[0,1]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7</m:t>
            </m:r>
          </m:sup>
        </m:sSup>
      </m:oMath>
      <w:r w:rsidRPr="001419A2">
        <w:rPr>
          <w:rFonts w:ascii="Times New Roman" w:hAnsi="Times New Roman" w:cs="Times New Roman"/>
        </w:rPr>
        <w:t xml:space="preserve">, which is mapped into physical parameters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1419A2">
        <w:rPr>
          <w:rFonts w:ascii="Times New Roman" w:hAnsi="Times New Roman" w:cs="Times New Roman"/>
        </w:rPr>
        <w:t xml:space="preserve"> through a deterministic decoding:</w:t>
      </w:r>
    </w:p>
    <w:p w14:paraId="7A6529FD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1. </w:t>
      </w:r>
      <w:r w:rsidRPr="001419A2">
        <w:rPr>
          <w:rStyle w:val="a3"/>
          <w:rFonts w:ascii="Times New Roman" w:hAnsi="Times New Roman" w:cs="Times New Roman"/>
        </w:rPr>
        <w:t xml:space="preserve">Linear decoding (for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ct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6C0CF7">
        <w:rPr>
          <w:rStyle w:val="a3"/>
          <w:rFonts w:ascii="Times New Roman" w:hAnsi="Times New Roman" w:cs="Times New Roman"/>
        </w:rPr>
        <w:t>)</w:t>
      </w:r>
    </w:p>
    <w:p w14:paraId="1608D9E8" w14:textId="77777777" w:rsidR="009510F3" w:rsidRPr="001419A2" w:rsidRDefault="009510F3" w:rsidP="009510F3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>p(u)=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min</m:t>
            </m:r>
          </m:sub>
        </m:sSub>
        <m:r>
          <w:rPr>
            <w:rStyle w:val="katex-mathml"/>
            <w:rFonts w:ascii="Cambria Math" w:hAnsi="Cambria Math" w:cs="Times New Roman"/>
          </w:rPr>
          <m:t>⁡+u 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max</m:t>
            </m:r>
          </m:sub>
        </m:sSub>
        <m:r>
          <w:rPr>
            <w:rStyle w:val="katex-mathml"/>
            <w:rFonts w:ascii="Cambria Math" w:hAnsi="Cambria Math" w:cs="Times New Roman"/>
          </w:rPr>
          <m:t>⁡-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min</m:t>
            </m:r>
          </m:sub>
        </m:sSub>
        <m:r>
          <w:rPr>
            <w:rStyle w:val="katex-mathml"/>
            <w:rFonts w:ascii="Cambria Math" w:hAnsi="Cambria Math" w:cs="Times New Roman"/>
          </w:rPr>
          <m:t>⁡)</m:t>
        </m:r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(S10)</w:t>
      </w:r>
    </w:p>
    <w:p w14:paraId="6C9C4AA8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lastRenderedPageBreak/>
        <w:t xml:space="preserve">2. </w:t>
      </w:r>
      <w:r w:rsidRPr="001419A2">
        <w:rPr>
          <w:rStyle w:val="a3"/>
          <w:rFonts w:ascii="Times New Roman" w:hAnsi="Times New Roman" w:cs="Times New Roman"/>
        </w:rPr>
        <w:t xml:space="preserve">Log decoding (for </w:t>
      </w:r>
      <m:oMath>
        <m:r>
          <m:rPr>
            <m:sty m:val="bi"/>
          </m:rPr>
          <w:rPr>
            <w:rFonts w:ascii="Cambria Math" w:hAnsi="Cambria Math" w:cs="Times New Roman"/>
          </w:rPr>
          <m:t>L,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1419A2">
        <w:rPr>
          <w:rStyle w:val="a3"/>
          <w:rFonts w:ascii="Times New Roman" w:hAnsi="Times New Roman" w:cs="Times New Roman"/>
        </w:rPr>
        <w:t>)</w:t>
      </w:r>
    </w:p>
    <w:p w14:paraId="42E903C5" w14:textId="77777777" w:rsidR="009510F3" w:rsidRPr="001419A2" w:rsidRDefault="009510F3" w:rsidP="009510F3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>p(u)=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10</m:t>
            </m:r>
          </m:e>
          <m:sup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10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min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⁡)+u[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10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max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⁡)-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10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min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)]</m:t>
            </m:r>
          </m:sup>
        </m:sSup>
        <m:r>
          <w:rPr>
            <w:rStyle w:val="katex-mathml"/>
            <w:rFonts w:ascii="Cambria Math" w:hAnsi="Cambria Math" w:cs="Times New Roman"/>
          </w:rPr>
          <m:t>⁡</m:t>
        </m:r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(S11)</w:t>
      </w:r>
    </w:p>
    <w:p w14:paraId="00427669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This mixed linear/log strategy makes the normalized space approximately “balanced” across parameters with different natural scales and ensures that a uniform step in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1419A2">
        <w:rPr>
          <w:rFonts w:ascii="Times New Roman" w:hAnsi="Times New Roman" w:cs="Times New Roman"/>
        </w:rPr>
        <w:t xml:space="preserve"> corresponds to a comparable </w:t>
      </w:r>
      <w:r w:rsidRPr="001419A2">
        <w:rPr>
          <w:rStyle w:val="a4"/>
          <w:rFonts w:ascii="Times New Roman" w:hAnsi="Times New Roman" w:cs="Times New Roman"/>
        </w:rPr>
        <w:t>relative</w:t>
      </w:r>
      <w:r w:rsidRPr="001419A2">
        <w:rPr>
          <w:rFonts w:ascii="Times New Roman" w:hAnsi="Times New Roman" w:cs="Times New Roman"/>
        </w:rPr>
        <w:t xml:space="preserve"> change for log-scale parameters.</w:t>
      </w:r>
    </w:p>
    <w:p w14:paraId="10C54575" w14:textId="77777777" w:rsidR="009510F3" w:rsidRPr="001419A2" w:rsidRDefault="009510F3" w:rsidP="009510F3">
      <w:pPr>
        <w:pStyle w:val="Web"/>
        <w:spacing w:line="360" w:lineRule="auto"/>
        <w:ind w:firstLine="480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In the </w:t>
      </w:r>
      <w:r w:rsidRPr="00F3189F">
        <w:rPr>
          <w:rStyle w:val="a3"/>
          <w:rFonts w:ascii="Times New Roman" w:hAnsi="Times New Roman" w:cs="Times New Roman"/>
          <w:b w:val="0"/>
          <w:bCs w:val="0"/>
        </w:rPr>
        <w:t>VQE/VQA continuous branch</w:t>
      </w:r>
      <w:r w:rsidRPr="001419A2">
        <w:rPr>
          <w:rFonts w:ascii="Times New Roman" w:hAnsi="Times New Roman" w:cs="Times New Roman"/>
        </w:rPr>
        <w:t xml:space="preserve">, each qubit encodes a continuous latent variable that is decoded into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1419A2">
        <w:rPr>
          <w:rFonts w:ascii="Times New Roman" w:hAnsi="Times New Roman" w:cs="Times New Roman"/>
        </w:rPr>
        <w:t xml:space="preserve"> (and then into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1419A2">
        <w:rPr>
          <w:rFonts w:ascii="Times New Roman" w:hAnsi="Times New Roman" w:cs="Times New Roman"/>
        </w:rPr>
        <w:t xml:space="preserve">). Practically, the VQA optimizer updates a real-valued parameter vector that is clipped to </w:t>
      </w:r>
      <m:oMath>
        <m:r>
          <w:rPr>
            <w:rStyle w:val="katex-mathml"/>
            <w:rFonts w:ascii="Cambria Math" w:hAnsi="Cambria Math" w:cs="Times New Roman"/>
          </w:rPr>
          <m:t>[0,1]</m:t>
        </m:r>
      </m:oMath>
      <w:r w:rsidRPr="001419A2">
        <w:rPr>
          <w:rFonts w:ascii="Times New Roman" w:hAnsi="Times New Roman" w:cs="Times New Roman"/>
        </w:rPr>
        <w:t xml:space="preserve"> at every iteration, ensuring feasibility by construction. (When desired, the same feasibility can be enforced smoothly via a logistic map </w:t>
      </w:r>
      <m:oMath>
        <m:r>
          <w:rPr>
            <w:rStyle w:val="katex-mathml"/>
            <w:rFonts w:ascii="Cambria Math" w:hAnsi="Cambria Math" w:cs="Times New Roman"/>
          </w:rPr>
          <m:t>u=σ(ϕ)=1/(1+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e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-ϕ</m:t>
            </m:r>
          </m:sup>
        </m:sSup>
        <m:r>
          <w:rPr>
            <w:rStyle w:val="katex-mathml"/>
            <w:rFonts w:ascii="Cambria Math" w:hAnsi="Cambria Math" w:cs="Times New Roman"/>
          </w:rPr>
          <m:t>)</m:t>
        </m:r>
      </m:oMath>
      <w:r w:rsidRPr="001419A2">
        <w:rPr>
          <w:rFonts w:ascii="Times New Roman" w:hAnsi="Times New Roman" w:cs="Times New Roman"/>
        </w:rPr>
        <w:t xml:space="preserve">, which avoids hard clipping while guaranteeing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(0,1)</m:t>
        </m:r>
      </m:oMath>
      <w:r w:rsidRPr="001419A2">
        <w:rPr>
          <w:rFonts w:ascii="Times New Roman" w:hAnsi="Times New Roman" w:cs="Times New Roman"/>
        </w:rPr>
        <w:t>.)</w:t>
      </w:r>
    </w:p>
    <w:p w14:paraId="7B064C87" w14:textId="77777777" w:rsidR="009510F3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3</w:t>
      </w:r>
      <w:r w:rsidRPr="001419A2">
        <w:rPr>
          <w:rStyle w:val="a3"/>
          <w:rFonts w:ascii="Times New Roman" w:hAnsi="Times New Roman" w:cs="Times New Roman"/>
        </w:rPr>
        <w:t>.3 Discrete (QAOA/QUBO) encoding with local trust region.</w:t>
      </w:r>
    </w:p>
    <w:p w14:paraId="3BB2DA00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In the QAOA branch, each parameter is discretized with </w:t>
      </w:r>
      <w:r w:rsidRPr="009E4EF0">
        <w:rPr>
          <w:rStyle w:val="a3"/>
          <w:rFonts w:ascii="Times New Roman" w:hAnsi="Times New Roman" w:cs="Times New Roman"/>
        </w:rPr>
        <w:t>3 bits</w:t>
      </w:r>
      <w:r w:rsidRPr="001419A2">
        <w:rPr>
          <w:rFonts w:ascii="Times New Roman" w:hAnsi="Times New Roman" w:cs="Times New Roman"/>
        </w:rPr>
        <w:t xml:space="preserve"> (8 levels), giving 21 binary variables total. The bitstring is first converted to a level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s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{0,1/7,…,1}</m:t>
        </m:r>
      </m:oMath>
      <w:r w:rsidRPr="001419A2">
        <w:rPr>
          <w:rFonts w:ascii="Times New Roman" w:hAnsi="Times New Roman" w:cs="Times New Roman"/>
        </w:rPr>
        <w:t xml:space="preserve"> for each parameter. To avoid global discretization artifacts and to keep the QUBO surrogate valid, we apply a </w:t>
      </w:r>
      <w:r w:rsidRPr="00F3189F">
        <w:rPr>
          <w:rStyle w:val="a3"/>
          <w:rFonts w:ascii="Times New Roman" w:hAnsi="Times New Roman" w:cs="Times New Roman"/>
          <w:b w:val="0"/>
          <w:bCs w:val="0"/>
        </w:rPr>
        <w:t>local trust-region decoding</w:t>
      </w:r>
      <w:r w:rsidRPr="001419A2">
        <w:rPr>
          <w:rFonts w:ascii="Times New Roman" w:hAnsi="Times New Roman" w:cs="Times New Roman"/>
        </w:rPr>
        <w:t xml:space="preserve"> around a classical baseline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o</m:t>
            </m:r>
          </m:sub>
        </m:sSub>
      </m:oMath>
      <w:r w:rsidRPr="001419A2">
        <w:rPr>
          <w:rFonts w:ascii="Times New Roman" w:hAnsi="Times New Roman" w:cs="Times New Roman"/>
        </w:rPr>
        <w:t>:</w:t>
      </w:r>
    </w:p>
    <w:p w14:paraId="576200E6" w14:textId="77777777" w:rsidR="009510F3" w:rsidRPr="001419A2" w:rsidRDefault="009510F3" w:rsidP="009510F3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=clip(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0,i</m:t>
            </m:r>
          </m:sub>
        </m:sSub>
        <m:r>
          <w:rPr>
            <w:rStyle w:val="katex-mathml"/>
            <w:rFonts w:ascii="Cambria Math" w:hAnsi="Cambria Math" w:cs="Times New Roman"/>
          </w:rPr>
          <m:t>+Δ (2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s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-1)</m:t>
        </m:r>
      </m:oMath>
      <w:r w:rsidRPr="00C6322F">
        <w:rPr>
          <w:rStyle w:val="katex-mathml"/>
          <w:rFonts w:ascii="Times New Roman" w:hAnsi="Times New Roman" w:cs="Times New Roman"/>
        </w:rPr>
        <w:t xml:space="preserve"> </w:t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(S12)</w:t>
      </w:r>
    </w:p>
    <w:p w14:paraId="65C95BA8" w14:textId="77777777" w:rsidR="009510F3" w:rsidRPr="001419A2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t xml:space="preserve">with </w:t>
      </w:r>
      <m:oMath>
        <m:r>
          <w:rPr>
            <w:rStyle w:val="katex-mathml"/>
            <w:rFonts w:ascii="Cambria Math" w:hAnsi="Cambria Math" w:cs="Times New Roman"/>
          </w:rPr>
          <m:t>Δ=0.08</m:t>
        </m:r>
      </m:oMath>
      <w:r w:rsidRPr="001419A2">
        <w:rPr>
          <w:rFonts w:ascii="Times New Roman" w:hAnsi="Times New Roman" w:cs="Times New Roman"/>
        </w:rPr>
        <w:t xml:space="preserve"> used in this study. This rule restricts the discrete search to a controlled hypercube around the baseline (i.e., a local surrogate neighborhood), improving both interpretabi</w:t>
      </w:r>
      <w:proofErr w:type="spellStart"/>
      <w:r w:rsidRPr="001419A2">
        <w:rPr>
          <w:rFonts w:ascii="Times New Roman" w:hAnsi="Times New Roman" w:cs="Times New Roman"/>
        </w:rPr>
        <w:t>lity</w:t>
      </w:r>
      <w:proofErr w:type="spellEnd"/>
      <w:r w:rsidRPr="001419A2">
        <w:rPr>
          <w:rFonts w:ascii="Times New Roman" w:hAnsi="Times New Roman" w:cs="Times New Roman"/>
        </w:rPr>
        <w:t xml:space="preserve"> and identifiability while keeping decoded parameters strictly within Table S1 bounds. After decoding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1419A2">
        <w:rPr>
          <w:rFonts w:ascii="Times New Roman" w:hAnsi="Times New Roman" w:cs="Times New Roman"/>
        </w:rPr>
        <w:t xml:space="preserve">, the same linear/log maps above are applied to obtain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1419A2">
        <w:rPr>
          <w:rFonts w:ascii="Times New Roman" w:hAnsi="Times New Roman" w:cs="Times New Roman"/>
        </w:rPr>
        <w:t>.</w:t>
      </w:r>
    </w:p>
    <w:p w14:paraId="78CE2FA4" w14:textId="77777777" w:rsidR="009510F3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3</w:t>
      </w:r>
      <w:r w:rsidRPr="001419A2">
        <w:rPr>
          <w:rStyle w:val="a3"/>
          <w:rFonts w:ascii="Times New Roman" w:hAnsi="Times New Roman" w:cs="Times New Roman"/>
        </w:rPr>
        <w:t>.4 Practical implications.</w:t>
      </w:r>
    </w:p>
    <w:p w14:paraId="1906B133" w14:textId="77777777" w:rsidR="009510F3" w:rsidRPr="0009276E" w:rsidRDefault="009510F3" w:rsidP="009510F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1419A2">
        <w:rPr>
          <w:rFonts w:ascii="Times New Roman" w:hAnsi="Times New Roman" w:cs="Times New Roman"/>
        </w:rPr>
        <w:lastRenderedPageBreak/>
        <w:t xml:space="preserve">Because all solvers share the </w:t>
      </w:r>
      <w:r w:rsidRPr="001419A2">
        <w:rPr>
          <w:rStyle w:val="a4"/>
          <w:rFonts w:ascii="Times New Roman" w:hAnsi="Times New Roman" w:cs="Times New Roman"/>
        </w:rPr>
        <w:t>same</w:t>
      </w:r>
      <w:r w:rsidRPr="001419A2">
        <w:rPr>
          <w:rFonts w:ascii="Times New Roman" w:hAnsi="Times New Roman" w:cs="Times New Roman"/>
        </w:rPr>
        <w:t xml:space="preserve"> bound set and decoding rules (</w:t>
      </w:r>
      <w:r w:rsidRPr="007A4A04">
        <w:rPr>
          <w:rFonts w:ascii="Times New Roman" w:hAnsi="Times New Roman" w:cs="Times New Roman"/>
          <w:b/>
          <w:bCs/>
        </w:rPr>
        <w:t>Table S1</w:t>
      </w:r>
      <w:r w:rsidRPr="001419A2">
        <w:rPr>
          <w:rFonts w:ascii="Times New Roman" w:hAnsi="Times New Roman" w:cs="Times New Roman"/>
        </w:rPr>
        <w:t>), differences among (classical / VQE–VQA / QAOA) results reflect algorithmic behavior rather than inconsistent parameter domains. Moreover, bounded decoding supports robust uncertainty analyses: noise refits, basin-of-attraction tests, and identifiability metrics are all computed within the same feasible region, making comparisons and SI reproducibility straightforward.</w:t>
      </w:r>
    </w:p>
    <w:p w14:paraId="5C3E59EB" w14:textId="036F1D7A" w:rsidR="00635133" w:rsidRPr="009510F3" w:rsidRDefault="00635133" w:rsidP="009510F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 w:hint="eastAsia"/>
          <w:b/>
          <w:bCs/>
        </w:rPr>
      </w:pPr>
    </w:p>
    <w:sectPr w:rsidR="00635133" w:rsidRPr="009510F3" w:rsidSect="009510F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F3"/>
    <w:rsid w:val="00635133"/>
    <w:rsid w:val="009510F3"/>
    <w:rsid w:val="00F3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5ECFF"/>
  <w15:chartTrackingRefBased/>
  <w15:docId w15:val="{A9E88B06-11F9-DE4A-A403-569F139C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0F3"/>
    <w:rPr>
      <w:rFonts w:ascii="新細明體" w:eastAsia="新細明體" w:hAnsi="新細明體" w:cs="新細明體"/>
      <w:kern w:val="0"/>
    </w:rPr>
  </w:style>
  <w:style w:type="paragraph" w:styleId="3">
    <w:name w:val="heading 3"/>
    <w:basedOn w:val="a"/>
    <w:link w:val="30"/>
    <w:uiPriority w:val="9"/>
    <w:qFormat/>
    <w:rsid w:val="009510F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510F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510F3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9510F3"/>
    <w:rPr>
      <w:b/>
      <w:bCs/>
    </w:rPr>
  </w:style>
  <w:style w:type="character" w:customStyle="1" w:styleId="katex-mathml">
    <w:name w:val="katex-mathml"/>
    <w:basedOn w:val="a0"/>
    <w:rsid w:val="009510F3"/>
  </w:style>
  <w:style w:type="character" w:customStyle="1" w:styleId="mord">
    <w:name w:val="mord"/>
    <w:basedOn w:val="a0"/>
    <w:rsid w:val="009510F3"/>
  </w:style>
  <w:style w:type="character" w:styleId="a4">
    <w:name w:val="Emphasis"/>
    <w:basedOn w:val="a0"/>
    <w:uiPriority w:val="20"/>
    <w:qFormat/>
    <w:rsid w:val="009510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2026-02-28T03:29:00Z</cp:lastPrinted>
  <dcterms:created xsi:type="dcterms:W3CDTF">2026-02-28T03:29:00Z</dcterms:created>
  <dcterms:modified xsi:type="dcterms:W3CDTF">2026-02-28T03:33:00Z</dcterms:modified>
</cp:coreProperties>
</file>