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C410" w14:textId="77777777" w:rsidR="00AB302B" w:rsidRPr="004F54D5" w:rsidRDefault="00AB302B" w:rsidP="00AB302B">
      <w:pPr>
        <w:pStyle w:val="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4D5">
        <w:rPr>
          <w:rFonts w:ascii="Times New Roman" w:hAnsi="Times New Roman" w:cs="Times New Roman"/>
          <w:sz w:val="24"/>
          <w:szCs w:val="24"/>
        </w:rPr>
        <w:t>Note S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F54D5">
        <w:rPr>
          <w:rFonts w:ascii="Times New Roman" w:hAnsi="Times New Roman" w:cs="Times New Roman"/>
          <w:sz w:val="24"/>
          <w:szCs w:val="24"/>
        </w:rPr>
        <w:t xml:space="preserve"> | Correlating LiF/HCl etching chemistry with the real-space/reciprocal-space lattice signatures of Ti</w:t>
      </w:r>
      <w:r w:rsidRPr="008F3ED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F54D5">
        <w:rPr>
          <w:rFonts w:ascii="Times New Roman" w:hAnsi="Times New Roman" w:cs="Times New Roman"/>
          <w:sz w:val="24"/>
          <w:szCs w:val="24"/>
        </w:rPr>
        <w:t>C</w:t>
      </w:r>
      <w:r w:rsidRPr="008F3ED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F54D5">
        <w:rPr>
          <w:rFonts w:ascii="Times New Roman" w:hAnsi="Times New Roman" w:cs="Times New Roman"/>
          <w:sz w:val="24"/>
          <w:szCs w:val="24"/>
        </w:rPr>
        <w:t>T</w:t>
      </w:r>
      <w:r w:rsidRPr="008F3ED5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4F54D5">
        <w:rPr>
          <w:rFonts w:ascii="Times New Roman" w:hAnsi="Times New Roman" w:cs="Times New Roman"/>
          <w:sz w:val="24"/>
          <w:szCs w:val="24"/>
        </w:rPr>
        <w:t xml:space="preserve"> MXene</w:t>
      </w:r>
    </w:p>
    <w:p w14:paraId="45437394" w14:textId="77777777" w:rsidR="00AB302B" w:rsidRDefault="00AB302B" w:rsidP="00AB302B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4F54D5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</w:rPr>
        <w:t xml:space="preserve"> integrates the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chemical pathway of Ti₃C₂Tₓ formation</w:t>
      </w:r>
      <w:r w:rsidRPr="004F54D5">
        <w:rPr>
          <w:rFonts w:ascii="Times New Roman" w:hAnsi="Times New Roman" w:cs="Times New Roman"/>
        </w:rPr>
        <w:t xml:space="preserve"> with a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solid-state, lattice-level validation</w:t>
      </w:r>
      <w:r w:rsidRPr="004F54D5">
        <w:rPr>
          <w:rFonts w:ascii="Times New Roman" w:hAnsi="Times New Roman" w:cs="Times New Roman"/>
        </w:rPr>
        <w:t xml:space="preserve"> by HRTEM and FFT. In the LiF/6 M HCl route, LiF dissolves in concentrated HCl to generate HF </w:t>
      </w:r>
      <w:r w:rsidRPr="004F54D5">
        <w:rPr>
          <w:rStyle w:val="a4"/>
          <w:rFonts w:ascii="Times New Roman" w:hAnsi="Times New Roman" w:cs="Times New Roman"/>
        </w:rPr>
        <w:t>in situ</w:t>
      </w:r>
      <w:r w:rsidRPr="004F54D5">
        <w:rPr>
          <w:rFonts w:ascii="Times New Roman" w:hAnsi="Times New Roman" w:cs="Times New Roman"/>
        </w:rPr>
        <w:t xml:space="preserve"> (LiF + HCl → HF + LiCl), providing a controlled fluoride activity that selectively extracts Al from Ti</w:t>
      </w:r>
      <w:r w:rsidRPr="008F3ED5">
        <w:rPr>
          <w:rFonts w:ascii="Times New Roman" w:hAnsi="Times New Roman" w:cs="Times New Roman"/>
          <w:vertAlign w:val="subscript"/>
        </w:rPr>
        <w:t>3</w:t>
      </w:r>
      <w:r w:rsidRPr="004F54D5">
        <w:rPr>
          <w:rFonts w:ascii="Times New Roman" w:hAnsi="Times New Roman" w:cs="Times New Roman"/>
        </w:rPr>
        <w:t>AlC</w:t>
      </w:r>
      <w:r w:rsidRPr="008F3ED5">
        <w:rPr>
          <w:rFonts w:ascii="Times New Roman" w:hAnsi="Times New Roman" w:cs="Times New Roman"/>
          <w:vertAlign w:val="subscript"/>
        </w:rPr>
        <w:t>2</w:t>
      </w:r>
      <w:r w:rsidRPr="004F54D5">
        <w:rPr>
          <w:rFonts w:ascii="Times New Roman" w:hAnsi="Times New Roman" w:cs="Times New Roman"/>
        </w:rPr>
        <w:t xml:space="preserve"> while avoiding the excessive, instantaneous attack often associated with direct HF handling (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a</w:t>
      </w:r>
      <w:r w:rsidRPr="004F54D5">
        <w:rPr>
          <w:rFonts w:ascii="Times New Roman" w:hAnsi="Times New Roman" w:cs="Times New Roman"/>
        </w:rPr>
        <w:t xml:space="preserve">). Conditioning the MAX powder (drying and deagglomeration) reduces local packing density and promotes uniform wetting; together with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portion wise MAX addition under vigorous stirring</w:t>
      </w:r>
      <w:r w:rsidRPr="004F54D5">
        <w:rPr>
          <w:rFonts w:ascii="Times New Roman" w:hAnsi="Times New Roman" w:cs="Times New Roman"/>
        </w:rPr>
        <w:t>, these steps suppress foaming and temperature gradients and thereby minimize spatial heterogeneity in etch depth (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a</w:t>
      </w:r>
      <w:r w:rsidRPr="004F54D5">
        <w:rPr>
          <w:rFonts w:ascii="Times New Roman" w:hAnsi="Times New Roman" w:cs="Times New Roman"/>
        </w:rPr>
        <w:t xml:space="preserve">). The extended etching step (50 °C, 30 h) removes the Al layers and simultaneously establishes the characteristic surface terminations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T</w:t>
      </w:r>
      <w:r w:rsidRPr="004F54D5">
        <w:rPr>
          <w:rStyle w:val="a3"/>
          <w:rFonts w:ascii="Times New Roman" w:hAnsi="Times New Roman" w:cs="Times New Roman"/>
          <w:b w:val="0"/>
          <w:bCs w:val="0"/>
          <w:vertAlign w:val="subscript"/>
        </w:rPr>
        <w:t>x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 xml:space="preserve"> = –F, –OH, and =O</w:t>
      </w:r>
      <w:r w:rsidRPr="004F54D5">
        <w:rPr>
          <w:rFonts w:ascii="Times New Roman" w:hAnsi="Times New Roman" w:cs="Times New Roman"/>
        </w:rPr>
        <w:t xml:space="preserve"> through reactions with fluoride and water in the acidic medium (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b</w:t>
      </w:r>
      <w:r w:rsidRPr="004F54D5">
        <w:rPr>
          <w:rFonts w:ascii="Times New Roman" w:hAnsi="Times New Roman" w:cs="Times New Roman"/>
        </w:rPr>
        <w:t xml:space="preserve">). From a crystallographic standpoint, this transformation preserves the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2D Ti–C backbone</w:t>
      </w:r>
      <w:r w:rsidRPr="004F54D5">
        <w:rPr>
          <w:rFonts w:ascii="Times New Roman" w:hAnsi="Times New Roman" w:cs="Times New Roman"/>
        </w:rPr>
        <w:t xml:space="preserve"> while converting the parent MAX into a terminated MXene with modified interlayer chemistry and enhanced propensity for solvation/rehydration.</w:t>
      </w:r>
      <w:r>
        <w:rPr>
          <w:rFonts w:ascii="Times New Roman" w:hAnsi="Times New Roman" w:cs="Times New Roman" w:hint="eastAsia"/>
        </w:rPr>
        <w:t xml:space="preserve"> </w:t>
      </w:r>
      <w:r w:rsidRPr="004F54D5">
        <w:rPr>
          <w:rFonts w:ascii="Times New Roman" w:hAnsi="Times New Roman" w:cs="Times New Roman"/>
        </w:rPr>
        <w:t>The post-etch separation and washing sequence is not merely a “cleanup” operation but a key determinant of microstructure. Centrifugation and repeated washing to pH 5–6 remove residual acid and soluble byproducts (Al³⁺ species, LiCl, excess fluorides), reducing uncontrolled ionic screening and mitigating continued surface attack (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b</w:t>
      </w:r>
      <w:r w:rsidRPr="004F54D5">
        <w:rPr>
          <w:rFonts w:ascii="Times New Roman" w:hAnsi="Times New Roman" w:cs="Times New Roman"/>
        </w:rPr>
        <w:t xml:space="preserve">). At the same time, progressive neutralization and termination equilibration change the interfacial energy landscape of the flakes, which promotes </w:t>
      </w:r>
      <w:r w:rsidRPr="004F54D5">
        <w:rPr>
          <w:rStyle w:val="a3"/>
          <w:rFonts w:ascii="Times New Roman" w:hAnsi="Times New Roman" w:cs="Times New Roman"/>
          <w:b w:val="0"/>
          <w:bCs w:val="0"/>
        </w:rPr>
        <w:t>partial restacking/overlap</w:t>
      </w:r>
      <w:r w:rsidRPr="004F54D5">
        <w:rPr>
          <w:rFonts w:ascii="Times New Roman" w:hAnsi="Times New Roman" w:cs="Times New Roman"/>
        </w:rPr>
        <w:t xml:space="preserve"> during handling and drying via capillary forces and electrostatic collapse. This mesoscale consequence is directly visible in the HRTEM</w:t>
      </w:r>
      <w:r>
        <w:rPr>
          <w:rFonts w:ascii="Times New Roman" w:hAnsi="Times New Roman" w:cs="Times New Roman"/>
        </w:rPr>
        <w:t>.</w:t>
      </w:r>
    </w:p>
    <w:p w14:paraId="47B5BF78" w14:textId="77777777" w:rsidR="00AB302B" w:rsidRPr="00530CB7" w:rsidRDefault="00AB302B" w:rsidP="00AB302B">
      <w:pPr>
        <w:pStyle w:val="Web"/>
        <w:spacing w:line="360" w:lineRule="auto"/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</w:t>
      </w:r>
      <w:r w:rsidRPr="00530CB7">
        <w:rPr>
          <w:rFonts w:ascii="Times New Roman" w:hAnsi="Times New Roman" w:cs="Times New Roman"/>
          <w:b/>
          <w:bCs/>
        </w:rPr>
        <w:t xml:space="preserve">igure </w:t>
      </w:r>
      <w:r>
        <w:rPr>
          <w:rFonts w:ascii="Times New Roman" w:hAnsi="Times New Roman" w:cs="Times New Roman"/>
          <w:b/>
          <w:bCs/>
        </w:rPr>
        <w:t>8c</w:t>
      </w:r>
      <w:r w:rsidRPr="00530CB7">
        <w:rPr>
          <w:rFonts w:ascii="Times New Roman" w:hAnsi="Times New Roman" w:cs="Times New Roman"/>
        </w:rPr>
        <w:t xml:space="preserve"> shows a high-resolution TEM image of MXene acquired at 200 kV (OneView; 1MX). The micrograph exhibits extended, electron-transparent domains with locally varying contrast and multiple lattice-fringe orientations. </w:t>
      </w:r>
      <w:r>
        <w:rPr>
          <w:rFonts w:ascii="Times New Roman" w:hAnsi="Times New Roman" w:cs="Times New Roman"/>
        </w:rPr>
        <w:t>T</w:t>
      </w:r>
      <w:r w:rsidRPr="00530CB7">
        <w:rPr>
          <w:rFonts w:ascii="Times New Roman" w:hAnsi="Times New Roman" w:cs="Times New Roman"/>
        </w:rPr>
        <w:t xml:space="preserve">his combination is characteristic of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few-layer nanosheets with partial restacking</w:t>
      </w:r>
      <w:r w:rsidRPr="00530CB7">
        <w:rPr>
          <w:rFonts w:ascii="Times New Roman" w:hAnsi="Times New Roman" w:cs="Times New Roman"/>
        </w:rPr>
        <w:t xml:space="preserve">: crystalline in-plane order is retained within each flake, whereas overlap regions </w:t>
      </w:r>
      <w:r w:rsidRPr="00530CB7">
        <w:rPr>
          <w:rFonts w:ascii="Times New Roman" w:hAnsi="Times New Roman" w:cs="Times New Roman"/>
        </w:rPr>
        <w:lastRenderedPageBreak/>
        <w:t xml:space="preserve">introduce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rotational misalignment</w:t>
      </w:r>
      <w:r w:rsidRPr="00530CB7">
        <w:rPr>
          <w:rFonts w:ascii="Times New Roman" w:hAnsi="Times New Roman" w:cs="Times New Roman"/>
        </w:rPr>
        <w:t xml:space="preserve"> and weakly strained boundaries, which manifest as fringe bending and changes in local fringe direction rather than amorphous contrast.</w:t>
      </w:r>
    </w:p>
    <w:p w14:paraId="227F3C1B" w14:textId="77777777" w:rsidR="00AB302B" w:rsidRPr="00530CB7" w:rsidRDefault="00AB302B" w:rsidP="00AB302B">
      <w:pPr>
        <w:pStyle w:val="Web"/>
        <w:spacing w:line="360" w:lineRule="auto"/>
        <w:ind w:firstLine="480"/>
        <w:jc w:val="both"/>
        <w:rPr>
          <w:rFonts w:ascii="Times New Roman" w:hAnsi="Times New Roman" w:cs="Times New Roman"/>
        </w:rPr>
      </w:pPr>
      <w:r w:rsidRPr="00530CB7">
        <w:rPr>
          <w:rFonts w:ascii="Times New Roman" w:hAnsi="Times New Roman" w:cs="Times New Roman"/>
        </w:rPr>
        <w:t xml:space="preserve">To quantify the crystalline periodicity, three representative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lattice-fringe-rich regions of interest (ROIs)</w:t>
      </w:r>
      <w:r w:rsidRPr="00530CB7">
        <w:rPr>
          <w:rFonts w:ascii="Times New Roman" w:hAnsi="Times New Roman" w:cs="Times New Roman"/>
        </w:rPr>
        <w:t xml:space="preserve"> were selected from the interior of the field of view (avoiding the scale-bar overlay and obvious thickness/contamination gradients)</w:t>
      </w:r>
      <w:r>
        <w:rPr>
          <w:rFonts w:ascii="Times New Roman" w:hAnsi="Times New Roman" w:cs="Times New Roman"/>
        </w:rPr>
        <w:t xml:space="preserve">, as shown in 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d-f</w:t>
      </w:r>
      <w:r w:rsidRPr="00530CB7">
        <w:rPr>
          <w:rFonts w:ascii="Times New Roman" w:hAnsi="Times New Roman" w:cs="Times New Roman"/>
        </w:rPr>
        <w:t xml:space="preserve">. Each ROI was </w:t>
      </w:r>
      <w:r>
        <w:rPr>
          <w:rFonts w:ascii="Times New Roman" w:hAnsi="Times New Roman" w:cs="Times New Roman"/>
        </w:rPr>
        <w:t>select</w:t>
      </w:r>
      <w:r w:rsidRPr="00530CB7">
        <w:rPr>
          <w:rFonts w:ascii="Times New Roman" w:hAnsi="Times New Roman" w:cs="Times New Roman"/>
        </w:rPr>
        <w:t xml:space="preserve">ed with a Hann window and analyzed using a 2D fast Fourier transform (FFT). Discrete maxima away from the central beam were consistently observed, confirming that the fringes originate from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coherent lattice periodicity</w:t>
      </w:r>
      <w:r w:rsidRPr="00530CB7">
        <w:rPr>
          <w:rFonts w:ascii="Times New Roman" w:hAnsi="Times New Roman" w:cs="Times New Roman"/>
        </w:rPr>
        <w:t xml:space="preserve"> rather than imaging noise or random texture</w:t>
      </w:r>
      <w:r>
        <w:rPr>
          <w:rFonts w:ascii="Times New Roman" w:hAnsi="Times New Roman" w:cs="Times New Roman"/>
        </w:rPr>
        <w:t xml:space="preserve"> (</w:t>
      </w:r>
      <w:r w:rsidRPr="004F54D5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8</w:t>
      </w:r>
      <w:r w:rsidRPr="004F54D5">
        <w:rPr>
          <w:rFonts w:ascii="Times New Roman" w:hAnsi="Times New Roman" w:cs="Times New Roman"/>
          <w:b/>
          <w:bCs/>
        </w:rPr>
        <w:t>g-i</w:t>
      </w:r>
      <w:r>
        <w:rPr>
          <w:rFonts w:ascii="Times New Roman" w:hAnsi="Times New Roman" w:cs="Times New Roman"/>
        </w:rPr>
        <w:t>)</w:t>
      </w:r>
      <w:r w:rsidRPr="00530CB7">
        <w:rPr>
          <w:rFonts w:ascii="Times New Roman" w:hAnsi="Times New Roman" w:cs="Times New Roman"/>
        </w:rPr>
        <w:t>. Spatial calibration was performed directly from the scale bar embedded in the micrograph (</w:t>
      </w:r>
      <m:oMath>
        <m:r>
          <w:rPr>
            <w:rFonts w:ascii="Cambria Math" w:hAnsi="Cambria Math" w:cs="Times New Roman"/>
          </w:rPr>
          <m:t>10 nm</m:t>
        </m:r>
      </m:oMath>
      <w:r w:rsidRPr="00530CB7">
        <w:rPr>
          <w:rFonts w:ascii="Times New Roman" w:hAnsi="Times New Roman" w:cs="Times New Roman"/>
        </w:rPr>
        <w:t xml:space="preserve">). Using the measured bar length, the pixel size is </w:t>
      </w:r>
      <m:oMath>
        <m:r>
          <w:rPr>
            <w:rStyle w:val="katex-mathml"/>
            <w:rFonts w:ascii="Cambria Math" w:hAnsi="Cambria Math" w:cs="Times New Roman"/>
          </w:rPr>
          <m:t>Δx≈0.01253</m:t>
        </m:r>
        <m:r>
          <w:rPr>
            <w:rFonts w:ascii="Cambria Math" w:hAnsi="Cambria Math" w:cs="Times New Roman"/>
          </w:rPr>
          <m:t xml:space="preserve"> nm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 xml:space="preserve"> px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Pr="00530CB7">
        <w:rPr>
          <w:rFonts w:ascii="Times New Roman" w:hAnsi="Times New Roman" w:cs="Times New Roman"/>
        </w:rPr>
        <w:t xml:space="preserve"> (a conservative estimate based on the bar extent; the uncertainty associated with the bar outline corresponds to a few-percent systematic variation in </w:t>
      </w:r>
      <m:oMath>
        <m:r>
          <w:rPr>
            <w:rStyle w:val="katex-mathml"/>
            <w:rFonts w:ascii="Cambria Math" w:hAnsi="Cambria Math" w:cs="Times New Roman"/>
          </w:rPr>
          <m:t>Δx</m:t>
        </m:r>
      </m:oMath>
      <w:r w:rsidRPr="00530CB7">
        <w:rPr>
          <w:rFonts w:ascii="Times New Roman" w:hAnsi="Times New Roman" w:cs="Times New Roman"/>
        </w:rPr>
        <w:t>, and is propagated qualitatively below).</w:t>
      </w:r>
    </w:p>
    <w:p w14:paraId="0631A5AA" w14:textId="77777777" w:rsidR="00AB302B" w:rsidRPr="00530CB7" w:rsidRDefault="00AB302B" w:rsidP="00AB302B">
      <w:pPr>
        <w:pStyle w:val="Web"/>
        <w:spacing w:line="360" w:lineRule="auto"/>
        <w:ind w:firstLine="480"/>
        <w:jc w:val="both"/>
        <w:rPr>
          <w:rFonts w:ascii="Times New Roman" w:hAnsi="Times New Roman" w:cs="Times New Roman"/>
        </w:rPr>
      </w:pPr>
      <w:r w:rsidRPr="00530CB7">
        <w:rPr>
          <w:rFonts w:ascii="Times New Roman" w:hAnsi="Times New Roman" w:cs="Times New Roman"/>
        </w:rPr>
        <w:t>The dominant periodicity for each ROI was extracted from the strongest non-central FFT peak using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Style w:val="katex-mathml"/>
            <w:rFonts w:ascii="Cambria Math" w:hAnsi="Cambria Math" w:cs="Times New Roman"/>
          </w:rPr>
          <m:t>d=</m:t>
        </m:r>
        <m:f>
          <m:fPr>
            <m:type m:val="lin"/>
            <m:ctrlPr>
              <w:rPr>
                <w:rStyle w:val="katex-mathml"/>
                <w:rFonts w:ascii="Cambria Math" w:hAnsi="Cambria Math" w:cs="Times New Roman"/>
                <w:i/>
              </w:rPr>
            </m:ctrlPr>
          </m:fPr>
          <m:num>
            <m:r>
              <w:rPr>
                <w:rStyle w:val="katex-mathml"/>
                <w:rFonts w:ascii="Cambria Math" w:hAnsi="Cambria Math" w:cs="Times New Roman"/>
              </w:rPr>
              <m:t>(</m:t>
            </m:r>
            <m:r>
              <w:rPr>
                <w:rStyle w:val="katex-mathml"/>
                <w:rFonts w:ascii="Cambria Math" w:hAnsi="Cambria Math" w:cs="Times New Roman"/>
              </w:rPr>
              <m:t>N</m:t>
            </m:r>
            <m:r>
              <w:rPr>
                <w:rStyle w:val="katex-mathml"/>
                <w:rFonts w:ascii="Cambria Math" w:hAnsi="Cambria Math" w:cs="Times New Roman"/>
              </w:rPr>
              <m:t>×</m:t>
            </m:r>
            <m:r>
              <w:rPr>
                <w:rStyle w:val="katex-mathml"/>
                <w:rFonts w:ascii="Cambria Math" w:hAnsi="Cambria Math" w:cs="Times New Roman"/>
              </w:rPr>
              <m:t> Δx</m:t>
            </m:r>
            <m:r>
              <w:rPr>
                <w:rStyle w:val="katex-mathml"/>
                <w:rFonts w:ascii="Cambria Math" w:hAnsi="Cambria Math" w:cs="Times New Roman"/>
              </w:rPr>
              <m:t>)</m:t>
            </m:r>
          </m:num>
          <m:den>
            <m:r>
              <w:rPr>
                <w:rStyle w:val="katex-mathml"/>
                <w:rFonts w:ascii="Cambria Math" w:hAnsi="Cambria Math" w:cs="Times New Roman"/>
              </w:rPr>
              <m:t>r</m:t>
            </m:r>
          </m:den>
        </m:f>
      </m:oMath>
      <w:r w:rsidRPr="00530CB7">
        <w:rPr>
          <w:rStyle w:val="mpunct"/>
          <w:rFonts w:ascii="Times New Roman" w:hAnsi="Times New Roman" w:cs="Times New Roman"/>
        </w:rPr>
        <w:t>,</w:t>
      </w:r>
      <w:r w:rsidRPr="00530CB7">
        <w:rPr>
          <w:rFonts w:ascii="Times New Roman" w:hAnsi="Times New Roman" w:cs="Times New Roman"/>
        </w:rPr>
        <w:t xml:space="preserve"> where </w:t>
      </w:r>
      <w:r w:rsidRPr="00530CB7">
        <w:rPr>
          <w:rStyle w:val="mord"/>
          <w:rFonts w:ascii="Times New Roman" w:hAnsi="Times New Roman" w:cs="Times New Roman"/>
        </w:rPr>
        <w:t>N</w:t>
      </w:r>
      <w:r w:rsidRPr="00530CB7">
        <w:rPr>
          <w:rFonts w:ascii="Times New Roman" w:hAnsi="Times New Roman" w:cs="Times New Roman"/>
        </w:rPr>
        <w:t xml:space="preserve"> is the ROI size (512 </w:t>
      </w:r>
      <m:oMath>
        <m:r>
          <w:rPr>
            <w:rFonts w:ascii="Cambria Math" w:hAnsi="Cambria Math" w:cs="Times New Roman"/>
          </w:rPr>
          <m:t>px</m:t>
        </m:r>
      </m:oMath>
      <w:r w:rsidRPr="00530CB7">
        <w:rPr>
          <w:rFonts w:ascii="Times New Roman" w:hAnsi="Times New Roman" w:cs="Times New Roman"/>
        </w:rPr>
        <w:t xml:space="preserve">) and </w:t>
      </w:r>
      <w:r w:rsidRPr="00530CB7">
        <w:rPr>
          <w:rStyle w:val="katex-mathml"/>
          <w:rFonts w:ascii="Times New Roman" w:hAnsi="Times New Roman" w:cs="Times New Roman"/>
        </w:rPr>
        <w:t>r</w:t>
      </w:r>
      <w:r w:rsidRPr="00530CB7">
        <w:rPr>
          <w:rFonts w:ascii="Times New Roman" w:hAnsi="Times New Roman" w:cs="Times New Roman"/>
        </w:rPr>
        <w:t xml:space="preserve"> is the radial distance of the FFT peak from the reciprocal-space origin (in pixels). The resulting spacings are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0.3073 nm (ROI-1)</w:t>
      </w:r>
      <w:r w:rsidRPr="00530CB7">
        <w:rPr>
          <w:rFonts w:ascii="Times New Roman" w:hAnsi="Times New Roman" w:cs="Times New Roman"/>
        </w:rPr>
        <w:t xml:space="preserve">,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0.3001 nm (ROI-2)</w:t>
      </w:r>
      <w:r w:rsidRPr="00530CB7">
        <w:rPr>
          <w:rFonts w:ascii="Times New Roman" w:hAnsi="Times New Roman" w:cs="Times New Roman"/>
        </w:rPr>
        <w:t xml:space="preserve">, and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0.2938 nm (ROI-3)</w:t>
      </w:r>
      <w:r w:rsidRPr="00530CB7">
        <w:rPr>
          <w:rFonts w:ascii="Times New Roman" w:hAnsi="Times New Roman" w:cs="Times New Roman"/>
        </w:rPr>
        <w:t xml:space="preserve">, yielding an average </w:t>
      </w:r>
      <m:oMath>
        <m:r>
          <w:rPr>
            <w:rStyle w:val="katex-mathml"/>
            <w:rFonts w:ascii="Cambria Math" w:hAnsi="Cambria Math" w:cs="Times New Roman"/>
          </w:rPr>
          <m:t>d=0.300±0.007</m:t>
        </m:r>
        <m:r>
          <m:rPr>
            <m:sty m:val="bi"/>
          </m:rPr>
          <w:rPr>
            <w:rStyle w:val="a3"/>
            <w:rFonts w:ascii="Cambria Math" w:hAnsi="Cambria Math" w:cs="Times New Roman"/>
          </w:rPr>
          <m:t>nm</m:t>
        </m:r>
      </m:oMath>
      <w:r w:rsidRPr="00530CB7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mean ± s.d.</m:t>
        </m:r>
      </m:oMath>
      <w:r w:rsidRPr="00530CB7">
        <w:rPr>
          <w:rFonts w:ascii="Times New Roman" w:hAnsi="Times New Roman" w:cs="Times New Roman"/>
        </w:rPr>
        <w:t xml:space="preserve">, </w:t>
      </w:r>
      <w:r w:rsidRPr="00530CB7">
        <w:rPr>
          <w:rStyle w:val="katex-mathml"/>
          <w:rFonts w:ascii="Times New Roman" w:hAnsi="Times New Roman" w:cs="Times New Roman"/>
        </w:rPr>
        <w:t>n=3</w:t>
      </w:r>
      <w:r w:rsidRPr="00530CB7">
        <w:rPr>
          <w:rFonts w:ascii="Times New Roman" w:hAnsi="Times New Roman" w:cs="Times New Roman"/>
        </w:rPr>
        <w:t xml:space="preserve">). The narrow dispersion indicates robust in-plane order across different crystallites, while the residual spread is consistent with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local strain/thickness variation</w:t>
      </w:r>
      <w:r w:rsidRPr="00530CB7">
        <w:rPr>
          <w:rFonts w:ascii="Times New Roman" w:hAnsi="Times New Roman" w:cs="Times New Roman"/>
        </w:rPr>
        <w:t xml:space="preserve"> and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stacking disorder</w:t>
      </w:r>
      <w:r w:rsidRPr="00530CB7">
        <w:rPr>
          <w:rFonts w:ascii="Times New Roman" w:hAnsi="Times New Roman" w:cs="Times New Roman"/>
        </w:rPr>
        <w:t xml:space="preserve"> at flake overlap boundaries.</w:t>
      </w:r>
    </w:p>
    <w:p w14:paraId="39AD13AB" w14:textId="77777777" w:rsidR="00AB302B" w:rsidRPr="00A459B7" w:rsidRDefault="00AB302B" w:rsidP="00AB302B">
      <w:pPr>
        <w:pStyle w:val="Web"/>
        <w:spacing w:line="360" w:lineRule="auto"/>
        <w:ind w:firstLine="480"/>
        <w:jc w:val="both"/>
        <w:rPr>
          <w:rFonts w:ascii="Times New Roman" w:hAnsi="Times New Roman" w:cs="Times New Roman" w:hint="eastAsia"/>
        </w:rPr>
      </w:pPr>
      <w:r w:rsidRPr="00530CB7">
        <w:rPr>
          <w:rFonts w:ascii="Times New Roman" w:hAnsi="Times New Roman" w:cs="Times New Roman"/>
        </w:rPr>
        <w:t xml:space="preserve">Indexing was performed within the common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hexagonal basal-plane description</w:t>
      </w:r>
      <w:r w:rsidRPr="00530CB7">
        <w:rPr>
          <w:rFonts w:ascii="Times New Roman" w:hAnsi="Times New Roman" w:cs="Times New Roman"/>
        </w:rPr>
        <w:t xml:space="preserve"> used for many MXenes. The observed fringes are predominantly in-plane (no clear </w:t>
      </w:r>
      <w:r w:rsidRPr="00530CB7">
        <w:rPr>
          <w:rStyle w:val="katex-mathml"/>
          <w:rFonts w:ascii="Times New Roman" w:hAnsi="Times New Roman" w:cs="Times New Roman"/>
        </w:rPr>
        <w:t>00</w:t>
      </w:r>
      <m:oMath>
        <m:r>
          <w:rPr>
            <w:rStyle w:val="katex-mathml"/>
            <w:rFonts w:ascii="Cambria Math" w:hAnsi="Cambria Math" w:cs="Times New Roman"/>
          </w:rPr>
          <m:t>l</m:t>
        </m:r>
      </m:oMath>
      <w:r w:rsidRPr="00530CB7">
        <w:rPr>
          <w:rFonts w:ascii="Times New Roman" w:hAnsi="Times New Roman" w:cs="Times New Roman"/>
        </w:rPr>
        <w:t xml:space="preserve"> periodicity is resolved in these ROIs), therefore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Style w:val="katex-mathml"/>
            <w:rFonts w:ascii="Cambria Math" w:hAnsi="Cambria Math" w:cs="Times New Roman"/>
          </w:rPr>
          <m:t>l=0</m:t>
        </m:r>
      </m:oMath>
      <w:r w:rsidRPr="00530CB7">
        <w:rPr>
          <w:rFonts w:ascii="Times New Roman" w:hAnsi="Times New Roman" w:cs="Times New Roman"/>
        </w:rPr>
        <w:t xml:space="preserve"> and the measured periodicity is most consistently assigned to the </w:t>
      </w:r>
      <m:oMath>
        <m:r>
          <w:rPr>
            <w:rStyle w:val="katex-mathml"/>
            <w:rFonts w:ascii="Cambria Math" w:hAnsi="Cambria Math" w:cs="Times New Roman"/>
          </w:rPr>
          <m:t>{10</m:t>
        </m:r>
        <m:acc>
          <m:accPr>
            <m:chr m:val="̅"/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1</m:t>
            </m:r>
          </m:e>
        </m:acc>
        <m:r>
          <w:rPr>
            <w:rStyle w:val="katex-mathml"/>
            <w:rFonts w:ascii="Cambria Math" w:hAnsi="Cambria Math" w:cs="Times New Roman"/>
          </w:rPr>
          <m:t>0}</m:t>
        </m:r>
      </m:oMath>
      <w:r w:rsidRPr="00530CB7">
        <w:rPr>
          <w:rFonts w:ascii="Times New Roman" w:hAnsi="Times New Roman" w:cs="Times New Roman"/>
        </w:rPr>
        <w:t xml:space="preserve"> family in Miller–Bravais notation (equivalently </w:t>
      </w:r>
      <m:oMath>
        <m:r>
          <w:rPr>
            <w:rStyle w:val="katex-mathml"/>
            <w:rFonts w:ascii="Cambria Math" w:hAnsi="Cambria Math" w:cs="Times New Roman"/>
          </w:rPr>
          <m:t>{100}</m:t>
        </m:r>
      </m:oMath>
      <w:r w:rsidRPr="00530CB7">
        <w:rPr>
          <w:rFonts w:ascii="Times New Roman" w:hAnsi="Times New Roman" w:cs="Times New Roman"/>
        </w:rPr>
        <w:t xml:space="preserve"> in three-index notation), which often dominates for basal-plane ordering in layered hexagonal systems. Using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d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{10</m:t>
            </m:r>
            <m:acc>
              <m:accPr>
                <m:chr m:val="̅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 w:cs="Times New Roman"/>
                  </w:rPr>
                  <m:t>1</m:t>
                </m:r>
              </m:e>
            </m:acc>
            <m:r>
              <w:rPr>
                <w:rStyle w:val="katex-mathml"/>
                <w:rFonts w:ascii="Cambria Math" w:hAnsi="Cambria Math" w:cs="Times New Roman"/>
              </w:rPr>
              <m:t>0}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f>
          <m:fPr>
            <m:ctrlPr>
              <w:rPr>
                <w:rStyle w:val="katex-mathml"/>
                <w:rFonts w:ascii="Cambria Math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Style w:val="katex-mathml"/>
                    <w:rFonts w:ascii="Cambria Math" w:hAnsi="Cambria Math" w:cs="Times New Roman"/>
                  </w:rPr>
                  <m:t>3</m:t>
                </m:r>
              </m:e>
            </m:rad>
          </m:num>
          <m:den>
            <m:r>
              <w:rPr>
                <w:rStyle w:val="katex-mathml"/>
                <w:rFonts w:ascii="Cambria Math" w:hAnsi="Cambria Math" w:cs="Times New Roman"/>
              </w:rPr>
              <m:t>2</m:t>
            </m:r>
          </m:den>
        </m:f>
        <m:r>
          <w:rPr>
            <w:rStyle w:val="katex-mathml"/>
            <w:rFonts w:ascii="Cambria Math" w:hAnsi="Cambria Math" w:cs="Times New Roman"/>
          </w:rPr>
          <m:t>a</m:t>
        </m:r>
      </m:oMath>
      <w:r w:rsidRPr="00530CB7">
        <w:rPr>
          <w:rFonts w:ascii="Times New Roman" w:hAnsi="Times New Roman" w:cs="Times New Roman"/>
        </w:rPr>
        <w:t xml:space="preserve">, the in-plane lattice constant </w:t>
      </w:r>
      <w:r>
        <w:rPr>
          <w:rFonts w:ascii="Times New Roman" w:hAnsi="Times New Roman" w:cs="Times New Roman"/>
        </w:rPr>
        <w:t>f</w:t>
      </w:r>
      <w:r w:rsidRPr="00530CB7">
        <w:rPr>
          <w:rFonts w:ascii="Times New Roman" w:hAnsi="Times New Roman" w:cs="Times New Roman"/>
        </w:rPr>
        <w:t xml:space="preserve">rom the three ROIs </w:t>
      </w:r>
      <w:r>
        <w:rPr>
          <w:rFonts w:ascii="Times New Roman" w:hAnsi="Times New Roman" w:cs="Times New Roman"/>
        </w:rPr>
        <w:t>are</w:t>
      </w:r>
      <w:r w:rsidRPr="00530CB7">
        <w:rPr>
          <w:rFonts w:ascii="Times New Roman" w:hAnsi="Times New Roman" w:cs="Times New Roman"/>
        </w:rPr>
        <w:t xml:space="preserve"> </w:t>
      </w:r>
      <m:oMath>
        <m:r>
          <w:rPr>
            <w:rStyle w:val="katex-mathml"/>
            <w:rFonts w:ascii="Cambria Math" w:hAnsi="Cambria Math" w:cs="Times New Roman"/>
          </w:rPr>
          <m:t>a=0.3469±0.0078</m:t>
        </m:r>
        <m:r>
          <w:rPr>
            <w:rStyle w:val="katex-mathml"/>
            <w:rFonts w:ascii="Cambria Math" w:hAnsi="Cambria Math" w:cs="Times New Roman"/>
          </w:rPr>
          <m:t xml:space="preserve"> nm</m:t>
        </m:r>
      </m:oMath>
      <w:r w:rsidRPr="00530CB7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 xml:space="preserve">mean ± s.d., </m:t>
        </m:r>
        <m:r>
          <w:rPr>
            <w:rStyle w:val="katex-mathml"/>
            <w:rFonts w:ascii="Cambria Math" w:hAnsi="Cambria Math" w:cs="Times New Roman"/>
          </w:rPr>
          <m:t>n=3</m:t>
        </m:r>
      </m:oMath>
      <w:r w:rsidRPr="00530CB7">
        <w:rPr>
          <w:rFonts w:ascii="Times New Roman" w:hAnsi="Times New Roman" w:cs="Times New Roman"/>
        </w:rPr>
        <w:t xml:space="preserve">). </w:t>
      </w:r>
      <w:r w:rsidRPr="00530CB7">
        <w:rPr>
          <w:rFonts w:ascii="Times New Roman" w:hAnsi="Times New Roman" w:cs="Times New Roman"/>
        </w:rPr>
        <w:lastRenderedPageBreak/>
        <w:t xml:space="preserve">Considering the small systematic uncertainty in </w:t>
      </w:r>
      <m:oMath>
        <m:r>
          <w:rPr>
            <w:rStyle w:val="katex-mathml"/>
            <w:rFonts w:ascii="Cambria Math" w:hAnsi="Cambria Math" w:cs="Times New Roman"/>
          </w:rPr>
          <m:t>Δx</m:t>
        </m:r>
      </m:oMath>
      <w:r w:rsidRPr="00530CB7">
        <w:rPr>
          <w:rFonts w:ascii="Times New Roman" w:hAnsi="Times New Roman" w:cs="Times New Roman"/>
        </w:rPr>
        <w:t xml:space="preserve"> introduced by the scale-bar outline, </w:t>
      </w:r>
      <m:oMath>
        <m:r>
          <w:rPr>
            <w:rStyle w:val="mord"/>
            <w:rFonts w:ascii="Cambria Math" w:hAnsi="Cambria Math" w:cs="Times New Roman"/>
          </w:rPr>
          <m:t>a</m:t>
        </m:r>
      </m:oMath>
      <w:r w:rsidRPr="00530CB7">
        <w:rPr>
          <w:rFonts w:ascii="Times New Roman" w:hAnsi="Times New Roman" w:cs="Times New Roman"/>
        </w:rPr>
        <w:t xml:space="preserve"> is best reported as </w:t>
      </w:r>
      <m:oMath>
        <m:r>
          <w:rPr>
            <w:rStyle w:val="katex-mathml"/>
            <w:rFonts w:ascii="Cambria Math" w:hAnsi="Cambria Math" w:cs="Times New Roman"/>
          </w:rPr>
          <m:t>a≈</m:t>
        </m:r>
        <m:r>
          <w:rPr>
            <w:rStyle w:val="mord"/>
            <w:rFonts w:ascii="Cambria Math" w:hAnsi="Cambria Math" w:cs="Times New Roman"/>
          </w:rPr>
          <m:t>0.35</m:t>
        </m:r>
        <m:r>
          <w:rPr>
            <w:rStyle w:val="mord"/>
            <w:rFonts w:ascii="Cambria Math" w:hAnsi="Cambria Math" w:cs="Times New Roman"/>
          </w:rPr>
          <m:t xml:space="preserve"> nm</m:t>
        </m:r>
      </m:oMath>
      <w:r w:rsidRPr="00530CB7">
        <w:rPr>
          <w:rFonts w:ascii="Times New Roman" w:hAnsi="Times New Roman" w:cs="Times New Roman"/>
        </w:rPr>
        <w:t xml:space="preserve"> (few-percent uncertainty). Importantly, the present HRTEM dataset constrains </w:t>
      </w:r>
      <w:r w:rsidRPr="00530CB7">
        <w:rPr>
          <w:rStyle w:val="a3"/>
          <w:rFonts w:ascii="Times New Roman" w:hAnsi="Times New Roman" w:cs="Times New Roman"/>
          <w:b w:val="0"/>
          <w:bCs w:val="0"/>
        </w:rPr>
        <w:t>in-plane ordering</w:t>
      </w:r>
      <w:r w:rsidRPr="00530CB7">
        <w:rPr>
          <w:rFonts w:ascii="Times New Roman" w:hAnsi="Times New Roman" w:cs="Times New Roman"/>
        </w:rPr>
        <w:t xml:space="preserve">; extraction of the out-of-plane lattice parameter </w:t>
      </w:r>
      <w:r w:rsidRPr="00530CB7">
        <w:rPr>
          <w:rStyle w:val="katex-mathml"/>
          <w:rFonts w:ascii="Times New Roman" w:hAnsi="Times New Roman" w:cs="Times New Roman"/>
        </w:rPr>
        <w:t>cc</w:t>
      </w:r>
      <w:r w:rsidRPr="00530CB7">
        <w:rPr>
          <w:rStyle w:val="mord"/>
          <w:rFonts w:ascii="Times New Roman" w:hAnsi="Times New Roman" w:cs="Times New Roman"/>
        </w:rPr>
        <w:t>c</w:t>
      </w:r>
      <w:r w:rsidRPr="00530CB7">
        <w:rPr>
          <w:rFonts w:ascii="Times New Roman" w:hAnsi="Times New Roman" w:cs="Times New Roman"/>
        </w:rPr>
        <w:t xml:space="preserve"> (or interlayer gallery height) requires either clear </w:t>
      </w:r>
      <m:oMath>
        <m:r>
          <w:rPr>
            <w:rStyle w:val="katex-mathml"/>
            <w:rFonts w:ascii="Cambria Math" w:hAnsi="Cambria Math" w:cs="Times New Roman"/>
          </w:rPr>
          <m:t>00l</m:t>
        </m:r>
      </m:oMath>
      <w:r w:rsidRPr="00530CB7">
        <w:rPr>
          <w:rFonts w:ascii="Times New Roman" w:hAnsi="Times New Roman" w:cs="Times New Roman"/>
        </w:rPr>
        <w:t xml:space="preserve"> fringes in cross-sectional views or complementary low-angle diffraction (e.g., XRD/SAXS) where basal reflections are unambiguously resolved.</w:t>
      </w:r>
    </w:p>
    <w:p w14:paraId="14EDCB72" w14:textId="2099862F" w:rsidR="00635133" w:rsidRPr="00AB302B" w:rsidRDefault="00635133">
      <w:pPr>
        <w:rPr>
          <w:rFonts w:ascii="Times New Roman" w:hAnsi="Times New Roman" w:cs="Times New Roman" w:hint="eastAsia"/>
          <w:b/>
          <w:bCs/>
        </w:rPr>
      </w:pPr>
    </w:p>
    <w:sectPr w:rsidR="00635133" w:rsidRPr="00AB302B" w:rsidSect="00AB302B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2B"/>
    <w:rsid w:val="00635133"/>
    <w:rsid w:val="00AB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AA50B"/>
  <w15:chartTrackingRefBased/>
  <w15:docId w15:val="{9905DFFE-957A-204B-BE8B-C3CB9B96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02B"/>
    <w:rPr>
      <w:rFonts w:ascii="新細明體" w:eastAsia="新細明體" w:hAnsi="新細明體" w:cs="新細明體"/>
      <w:kern w:val="0"/>
    </w:rPr>
  </w:style>
  <w:style w:type="paragraph" w:styleId="2">
    <w:name w:val="heading 2"/>
    <w:basedOn w:val="a"/>
    <w:link w:val="20"/>
    <w:uiPriority w:val="9"/>
    <w:qFormat/>
    <w:rsid w:val="00AB302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B302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AB302B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AB302B"/>
    <w:rPr>
      <w:b/>
      <w:bCs/>
    </w:rPr>
  </w:style>
  <w:style w:type="character" w:customStyle="1" w:styleId="katex-mathml">
    <w:name w:val="katex-mathml"/>
    <w:basedOn w:val="a0"/>
    <w:rsid w:val="00AB302B"/>
  </w:style>
  <w:style w:type="character" w:customStyle="1" w:styleId="mord">
    <w:name w:val="mord"/>
    <w:basedOn w:val="a0"/>
    <w:rsid w:val="00AB302B"/>
  </w:style>
  <w:style w:type="character" w:customStyle="1" w:styleId="mpunct">
    <w:name w:val="mpunct"/>
    <w:basedOn w:val="a0"/>
    <w:rsid w:val="00AB302B"/>
  </w:style>
  <w:style w:type="character" w:styleId="a4">
    <w:name w:val="Emphasis"/>
    <w:basedOn w:val="a0"/>
    <w:uiPriority w:val="20"/>
    <w:qFormat/>
    <w:rsid w:val="00AB30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2026-03-02T05:49:00Z</dcterms:created>
  <dcterms:modified xsi:type="dcterms:W3CDTF">2026-03-02T05:49:00Z</dcterms:modified>
</cp:coreProperties>
</file>