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8FB69" w14:textId="77777777" w:rsidR="00E54C8C" w:rsidRDefault="00E54C8C" w:rsidP="00E54C8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B21548">
        <w:rPr>
          <w:rStyle w:val="a3"/>
          <w:rFonts w:ascii="Times New Roman" w:hAnsi="Times New Roman" w:cs="Times New Roman"/>
        </w:rPr>
        <w:t>Figure 2 | Quantum inference architecture for MXene EIS parameter estimation.</w:t>
      </w:r>
      <w:r>
        <w:rPr>
          <w:rFonts w:ascii="Times New Roman" w:hAnsi="Times New Roman" w:cs="Times New Roman"/>
        </w:rPr>
        <w:t xml:space="preserve"> </w:t>
      </w:r>
      <w:r w:rsidRPr="00B21548">
        <w:rPr>
          <w:rFonts w:ascii="Times New Roman" w:hAnsi="Times New Roman" w:cs="Times New Roman"/>
        </w:rPr>
        <w:t xml:space="preserve">(a) </w:t>
      </w:r>
      <w:r w:rsidRPr="00B21548">
        <w:rPr>
          <w:rStyle w:val="a3"/>
          <w:rFonts w:ascii="Times New Roman" w:hAnsi="Times New Roman" w:cs="Times New Roman"/>
        </w:rPr>
        <w:t>Continuous branch (VQE/VQA):</w:t>
      </w:r>
      <w:r w:rsidRPr="00B21548">
        <w:rPr>
          <w:rFonts w:ascii="Times New Roman" w:hAnsi="Times New Roman" w:cs="Times New Roman"/>
        </w:rPr>
        <w:t xml:space="preserve"> A 7-qubit hardware-efficient ansatz (HEA, three layers of parameterized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y</m:t>
            </m:r>
          </m:sub>
        </m:sSub>
      </m:oMath>
      <w:r w:rsidRPr="00B21548">
        <w:rPr>
          <w:rFonts w:ascii="Times New Roman" w:hAnsi="Times New Roman" w:cs="Times New Roman"/>
        </w:rPr>
        <w:t xml:space="preserve"> rotations with entangling links) encodes the seven circuit parameters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B21548">
        <w:rPr>
          <w:rFonts w:ascii="Times New Roman" w:hAnsi="Times New Roman" w:cs="Times New Roman"/>
        </w:rPr>
        <w:t xml:space="preserve">. Measurement outcomes are mapped to normalized variables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[0,1]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7</m:t>
            </m:r>
          </m:sup>
        </m:sSup>
      </m:oMath>
      <w:r w:rsidRPr="00B21548">
        <w:rPr>
          <w:rFonts w:ascii="Times New Roman" w:hAnsi="Times New Roman" w:cs="Times New Roman"/>
        </w:rPr>
        <w:t xml:space="preserve"> and converted to physical parameters via the </w:t>
      </w:r>
      <w:r w:rsidRPr="002C143E">
        <w:rPr>
          <w:rStyle w:val="a3"/>
          <w:rFonts w:ascii="Times New Roman" w:hAnsi="Times New Roman" w:cs="Times New Roman"/>
          <w:b w:val="0"/>
          <w:bCs w:val="0"/>
        </w:rPr>
        <w:t>bounded decoding</w:t>
      </w:r>
      <w:r w:rsidRPr="00B21548">
        <w:rPr>
          <w:rFonts w:ascii="Times New Roman" w:hAnsi="Times New Roman" w:cs="Times New Roman"/>
        </w:rPr>
        <w:t xml:space="preserve"> rule </w:t>
      </w:r>
      <m:oMath>
        <m:r>
          <w:rPr>
            <w:rStyle w:val="katex-mathml"/>
            <w:rFonts w:ascii="Cambria Math" w:hAnsi="Cambria Math" w:cs="Times New Roman"/>
          </w:rPr>
          <m:t>p=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min</m:t>
            </m:r>
          </m:sub>
        </m:sSub>
        <m:r>
          <w:rPr>
            <w:rStyle w:val="katex-mathml"/>
            <w:rFonts w:ascii="Cambria Math" w:hAnsi="Cambria Math" w:cs="Times New Roman"/>
          </w:rPr>
          <m:t>⁡+(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max</m:t>
            </m:r>
          </m:sub>
        </m:sSub>
        <m:r>
          <w:rPr>
            <w:rStyle w:val="katex-mathml"/>
            <w:rFonts w:ascii="Cambria Math" w:hAnsi="Cambria Math" w:cs="Times New Roman"/>
          </w:rPr>
          <m:t>⁡-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min</m:t>
            </m:r>
          </m:sub>
        </m:sSub>
        <m:r>
          <w:rPr>
            <w:rStyle w:val="katex-mathml"/>
            <w:rFonts w:ascii="Cambria Math" w:hAnsi="Cambria Math" w:cs="Times New Roman"/>
          </w:rPr>
          <m:t>⁡)σ(ϕ)</m:t>
        </m:r>
      </m:oMath>
      <w:r w:rsidRPr="00B21548">
        <w:rPr>
          <w:rFonts w:ascii="Times New Roman" w:hAnsi="Times New Roman" w:cs="Times New Roman"/>
        </w:rPr>
        <w:t xml:space="preserve"> (and the linear/log maps defined in Table S1), ensuring feasibility (</w:t>
      </w:r>
      <m:oMath>
        <m:r>
          <w:rPr>
            <w:rStyle w:val="katex-mathml"/>
            <w:rFonts w:ascii="Cambria Math" w:hAnsi="Cambria Math" w:cs="Times New Roman"/>
          </w:rPr>
          <m:t>R&gt;0</m:t>
        </m:r>
      </m:oMath>
      <w:r w:rsidRPr="00B21548">
        <w:rPr>
          <w:rFonts w:ascii="Times New Roman" w:hAnsi="Times New Roman" w:cs="Times New Roman"/>
        </w:rPr>
        <w:t xml:space="preserve">, </w:t>
      </w:r>
      <m:oMath>
        <m:r>
          <w:rPr>
            <w:rStyle w:val="katex-mathml"/>
            <w:rFonts w:ascii="Cambria Math" w:hAnsi="Cambria Math" w:cs="Times New Roman"/>
          </w:rPr>
          <m:t>0&lt;α≤1</m:t>
        </m:r>
      </m:oMath>
      <w:r w:rsidRPr="00B21548">
        <w:rPr>
          <w:rFonts w:ascii="Times New Roman" w:hAnsi="Times New Roman" w:cs="Times New Roman"/>
        </w:rPr>
        <w:t xml:space="preserve">) throughout optimization. A derivative-free COBYLA loop updates the ansatz angles using shot-based evaluations (4096 shots) to minimize the complex-domain EIS loss, yielding a decoded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θ</m:t>
            </m:r>
          </m:e>
          <m:sup>
            <m:r>
              <m:rPr>
                <m:sty m:val="bi"/>
              </m:rP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B21548">
        <w:rPr>
          <w:rFonts w:ascii="Times New Roman" w:hAnsi="Times New Roman" w:cs="Times New Roman"/>
        </w:rPr>
        <w:t xml:space="preserve"> used to compute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(ω)</m:t>
        </m:r>
      </m:oMath>
      <w:r w:rsidRPr="00B215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B21548">
        <w:rPr>
          <w:rFonts w:ascii="Times New Roman" w:hAnsi="Times New Roman" w:cs="Times New Roman"/>
        </w:rPr>
        <w:t xml:space="preserve">(b) </w:t>
      </w:r>
      <w:r w:rsidRPr="002C143E">
        <w:rPr>
          <w:rStyle w:val="a3"/>
          <w:rFonts w:ascii="Times New Roman" w:hAnsi="Times New Roman" w:cs="Times New Roman"/>
          <w:b w:val="0"/>
          <w:bCs w:val="0"/>
        </w:rPr>
        <w:t>Discrete branch (QAOA/QUBO):</w:t>
      </w:r>
      <w:r w:rsidRPr="00B21548">
        <w:rPr>
          <w:rFonts w:ascii="Times New Roman" w:hAnsi="Times New Roman" w:cs="Times New Roman"/>
        </w:rPr>
        <w:t xml:space="preserve"> A local quadratic surrogate of the classical EIS objective is discretized using </w:t>
      </w:r>
      <w:r w:rsidRPr="002C143E">
        <w:rPr>
          <w:rStyle w:val="a3"/>
          <w:rFonts w:ascii="Times New Roman" w:hAnsi="Times New Roman" w:cs="Times New Roman"/>
          <w:b w:val="0"/>
          <w:bCs w:val="0"/>
        </w:rPr>
        <w:t>3 bits per parameter</w:t>
      </w:r>
      <w:r w:rsidRPr="00B21548">
        <w:rPr>
          <w:rFonts w:ascii="Times New Roman" w:hAnsi="Times New Roman" w:cs="Times New Roman"/>
        </w:rPr>
        <w:t xml:space="preserve"> (21 qubits total) and mapped to an </w:t>
      </w:r>
      <w:r w:rsidRPr="002C143E">
        <w:rPr>
          <w:rStyle w:val="a3"/>
          <w:rFonts w:ascii="Times New Roman" w:hAnsi="Times New Roman" w:cs="Times New Roman"/>
          <w:b w:val="0"/>
          <w:bCs w:val="0"/>
        </w:rPr>
        <w:t>Ising Hamiltonian</w:t>
      </w:r>
      <w:r w:rsidRPr="00B2154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nary>
          <m:naryPr>
            <m:chr m:val="∑"/>
            <m:limLoc m:val="subSup"/>
            <m:supHide m:val="1"/>
            <m:ctrlPr>
              <w:rPr>
                <w:rStyle w:val="katex-mathml"/>
                <w:rFonts w:ascii="Cambria Math" w:hAnsi="Cambria Math" w:cs="Times New Roman"/>
                <w:i/>
              </w:rPr>
            </m:ctrlPr>
          </m:naryPr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  <m:sup/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Style w:val="katex-mathml"/>
            <w:rFonts w:ascii="Cambria Math" w:hAnsi="Cambria Math" w:cs="Times New Roman"/>
          </w:rPr>
          <m:t>+</m:t>
        </m:r>
        <m:nary>
          <m:naryPr>
            <m:chr m:val="∑"/>
            <m:limLoc m:val="subSup"/>
            <m:supHide m:val="1"/>
            <m:ctrlPr>
              <w:rPr>
                <w:rStyle w:val="katex-mathml"/>
                <w:rFonts w:ascii="Cambria Math" w:hAnsi="Cambria Math" w:cs="Times New Roman"/>
                <w:i/>
              </w:rPr>
            </m:ctrlPr>
          </m:naryPr>
          <m:sub>
            <m:r>
              <w:rPr>
                <w:rStyle w:val="katex-mathml"/>
                <w:rFonts w:ascii="Cambria Math" w:hAnsi="Cambria Math" w:cs="Times New Roman"/>
              </w:rPr>
              <m:t>i&lt;j</m:t>
            </m:r>
          </m:sub>
          <m:sup/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J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ij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j</m:t>
                </m:r>
              </m:sub>
            </m:sSub>
          </m:e>
        </m:nary>
      </m:oMath>
      <w:r w:rsidRPr="00B21548">
        <w:rPr>
          <w:rFonts w:ascii="Times New Roman" w:hAnsi="Times New Roman" w:cs="Times New Roman"/>
        </w:rPr>
        <w:t xml:space="preserve">. The </w:t>
      </w:r>
      <m:oMath>
        <m:r>
          <w:rPr>
            <w:rFonts w:ascii="Cambria Math" w:hAnsi="Cambria Math" w:cs="Times New Roman"/>
          </w:rPr>
          <m:t>p=1</m:t>
        </m:r>
      </m:oMath>
      <w:r w:rsidRPr="00B21548">
        <w:rPr>
          <w:rFonts w:ascii="Times New Roman" w:hAnsi="Times New Roman" w:cs="Times New Roman"/>
        </w:rPr>
        <w:t xml:space="preserve"> QAOA circuit prepares</w:t>
      </w:r>
      <m:oMath>
        <m:sSup>
          <m:sSupPr>
            <m:ctrlPr>
              <w:rPr>
                <w:rStyle w:val="katex-mathml"/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Style w:val="katex-mathml"/>
                <w:rFonts w:ascii="Cambria Math" w:hAnsi="Cambria Math" w:cs="Cambria Math"/>
              </w:rPr>
              <m:t>|</m:t>
            </m:r>
            <m:d>
              <m:dPr>
                <m:begChr m:val=""/>
                <m:endChr m:val="⟩"/>
                <m:ctrlPr>
                  <w:rPr>
                    <w:rStyle w:val="katex-mathml"/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Style w:val="katex-mathml"/>
                    <w:rFonts w:ascii="Cambria Math" w:hAnsi="Cambria Math" w:cs="Cambria Math"/>
                  </w:rPr>
                  <m:t>+</m:t>
                </m:r>
              </m:e>
            </m:d>
          </m:e>
          <m:sup>
            <m:r>
              <w:rPr>
                <w:rStyle w:val="katex-mathml"/>
                <w:rFonts w:ascii="Cambria Math" w:hAnsi="Cambria Math" w:cs="Cambria Math"/>
              </w:rPr>
              <m:t>⨂21</m:t>
            </m:r>
          </m:sup>
        </m:sSup>
      </m:oMath>
      <w:r w:rsidRPr="00B21548">
        <w:rPr>
          <w:rFonts w:ascii="Times New Roman" w:hAnsi="Times New Roman" w:cs="Times New Roman"/>
        </w:rPr>
        <w:t xml:space="preserve">, applies the problem unitary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</m:t>
            </m:r>
          </m:sub>
        </m:sSub>
        <m:r>
          <w:rPr>
            <w:rStyle w:val="katex-mathml"/>
            <w:rFonts w:ascii="Cambria Math" w:hAnsi="Cambria Math" w:cs="Times New Roman"/>
          </w:rPr>
          <m:t>(γ)=exp⁡(-iγ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B21548">
        <w:rPr>
          <w:rFonts w:ascii="Times New Roman" w:hAnsi="Times New Roman" w:cs="Times New Roman"/>
        </w:rPr>
        <w:t xml:space="preserve"> and mixer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B</m:t>
            </m:r>
          </m:sub>
        </m:sSub>
        <m:r>
          <w:rPr>
            <w:rStyle w:val="katex-mathml"/>
            <w:rFonts w:ascii="Cambria Math" w:hAnsi="Cambria Math" w:cs="Times New Roman"/>
          </w:rPr>
          <m:t>(β)=exp⁡(-iβ</m:t>
        </m:r>
        <m:nary>
          <m:naryPr>
            <m:chr m:val="∑"/>
            <m:limLoc m:val="subSup"/>
            <m:supHide m:val="1"/>
            <m:ctrlPr>
              <w:rPr>
                <w:rStyle w:val="katex-mathml"/>
                <w:rFonts w:ascii="Cambria Math" w:hAnsi="Cambria Math" w:cs="Times New Roman"/>
                <w:i/>
              </w:rPr>
            </m:ctrlPr>
          </m:naryPr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  <m:sup/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Style w:val="katex-mathml"/>
            <w:rFonts w:ascii="Cambria Math" w:hAnsi="Cambria Math" w:cs="Times New Roman"/>
          </w:rPr>
          <m:t>)</m:t>
        </m:r>
      </m:oMath>
      <w:r w:rsidRPr="00B21548">
        <w:rPr>
          <w:rFonts w:ascii="Times New Roman" w:hAnsi="Times New Roman" w:cs="Times New Roman"/>
        </w:rPr>
        <w:t xml:space="preserve">, and is sampled with 4096 shots. The most favorable measured bitstring is decoded (trust-region </w:t>
      </w:r>
      <m:oMath>
        <m:r>
          <m:rPr>
            <m:sty m:val="p"/>
          </m:rPr>
          <w:rPr>
            <w:rStyle w:val="katex-mathml"/>
            <w:rFonts w:ascii="Cambria Math" w:hAnsi="Cambria Math" w:cs="Times New Roman"/>
          </w:rPr>
          <m:t>Δ</m:t>
        </m:r>
      </m:oMath>
      <w:r w:rsidRPr="00B21548">
        <w:rPr>
          <w:rStyle w:val="katex-mathml"/>
          <w:rFonts w:ascii="Times New Roman" w:hAnsi="Times New Roman" w:cs="Times New Roman"/>
        </w:rPr>
        <w:t>=0.08</w:t>
      </w:r>
      <w:r w:rsidRPr="00B21548">
        <w:rPr>
          <w:rFonts w:ascii="Times New Roman" w:hAnsi="Times New Roman" w:cs="Times New Roman"/>
        </w:rPr>
        <w:t xml:space="preserve"> about the classical baseline and bounds in Table S1) to obtain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B21548">
        <w:rPr>
          <w:rFonts w:ascii="Times New Roman" w:hAnsi="Times New Roman" w:cs="Times New Roman"/>
        </w:rPr>
        <w:t>, which is then used to generate the final EIS overlays.</w:t>
      </w:r>
    </w:p>
    <w:p w14:paraId="4E21AA75" w14:textId="77777777" w:rsidR="00E54C8C" w:rsidRDefault="00E54C8C" w:rsidP="00E54C8C">
      <w:pPr>
        <w:spacing w:before="100" w:beforeAutospacing="1" w:after="100" w:afterAutospacing="1" w:line="360" w:lineRule="auto"/>
        <w:jc w:val="both"/>
      </w:pPr>
    </w:p>
    <w:p w14:paraId="7C9536FF" w14:textId="77777777" w:rsidR="00E54C8C" w:rsidRDefault="00E54C8C" w:rsidP="00E54C8C">
      <w:pPr>
        <w:spacing w:before="100" w:beforeAutospacing="1" w:after="100" w:afterAutospacing="1" w:line="360" w:lineRule="auto"/>
        <w:jc w:val="both"/>
      </w:pPr>
    </w:p>
    <w:p w14:paraId="036BD571" w14:textId="77777777" w:rsidR="00E54C8C" w:rsidRPr="00B21548" w:rsidRDefault="00E54C8C" w:rsidP="00E54C8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54C8C" w14:paraId="134093AE" w14:textId="77777777" w:rsidTr="004C06FF">
        <w:tc>
          <w:tcPr>
            <w:tcW w:w="9628" w:type="dxa"/>
          </w:tcPr>
          <w:p w14:paraId="5AE80CD1" w14:textId="77777777" w:rsidR="00E54C8C" w:rsidRDefault="00E54C8C" w:rsidP="004C06F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72D2AB" wp14:editId="2708C563">
                  <wp:extent cx="6120130" cy="2831876"/>
                  <wp:effectExtent l="0" t="0" r="1270" b="635"/>
                  <wp:docPr id="3" name="圖片 3" descr="一張含有 文字, 螢幕擷取畫面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 descr="一張含有 文字, 螢幕擷取畫面, 數字, 字型 的圖片&#10;&#10;自動產生的描述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C8C" w14:paraId="34B29E62" w14:textId="77777777" w:rsidTr="004C06FF">
        <w:tc>
          <w:tcPr>
            <w:tcW w:w="9628" w:type="dxa"/>
          </w:tcPr>
          <w:p w14:paraId="2F6E4750" w14:textId="77777777" w:rsidR="00E54C8C" w:rsidRDefault="00E54C8C" w:rsidP="004C06F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892396" wp14:editId="2626E2F2">
                  <wp:extent cx="6119868" cy="3609975"/>
                  <wp:effectExtent l="0" t="0" r="1905" b="0"/>
                  <wp:docPr id="4" name="圖片 4" descr="一張含有 文字, 螢幕擷取畫面, 圖表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 descr="一張含有 文字, 螢幕擷取畫面, 圖表, 數字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868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45A3F" w14:textId="77777777" w:rsidR="00635133" w:rsidRDefault="00635133"/>
    <w:sectPr w:rsidR="00635133" w:rsidSect="00E54C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8C"/>
    <w:rsid w:val="002C143E"/>
    <w:rsid w:val="00635133"/>
    <w:rsid w:val="00E5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8C1F5"/>
  <w15:chartTrackingRefBased/>
  <w15:docId w15:val="{E00A79F0-AA78-0B4F-ACF1-34D7155B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C8C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4C8C"/>
    <w:rPr>
      <w:b/>
      <w:bCs/>
    </w:rPr>
  </w:style>
  <w:style w:type="character" w:customStyle="1" w:styleId="katex-mathml">
    <w:name w:val="katex-mathml"/>
    <w:basedOn w:val="a0"/>
    <w:rsid w:val="00E54C8C"/>
  </w:style>
  <w:style w:type="character" w:customStyle="1" w:styleId="mord">
    <w:name w:val="mord"/>
    <w:basedOn w:val="a0"/>
    <w:rsid w:val="00E54C8C"/>
  </w:style>
  <w:style w:type="table" w:styleId="a4">
    <w:name w:val="Table Grid"/>
    <w:basedOn w:val="a1"/>
    <w:uiPriority w:val="59"/>
    <w:rsid w:val="00E54C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2026-02-28T03:51:00Z</cp:lastPrinted>
  <dcterms:created xsi:type="dcterms:W3CDTF">2026-02-28T03:51:00Z</dcterms:created>
  <dcterms:modified xsi:type="dcterms:W3CDTF">2026-02-28T03:52:00Z</dcterms:modified>
</cp:coreProperties>
</file>