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8203A" w14:textId="77777777" w:rsidR="008806C4" w:rsidRDefault="008806C4" w:rsidP="008806C4">
      <w:pPr>
        <w:spacing w:before="100" w:beforeAutospacing="1" w:after="100" w:afterAutospacing="1" w:line="360" w:lineRule="auto"/>
        <w:jc w:val="both"/>
        <w:rPr>
          <w:rFonts w:ascii="Times New Roman" w:hAnsi="Times New Roman" w:cs="Times New Roman"/>
        </w:rPr>
      </w:pPr>
      <w:r w:rsidRPr="008F567B">
        <w:rPr>
          <w:rStyle w:val="a3"/>
          <w:rFonts w:ascii="Times New Roman" w:hAnsi="Times New Roman" w:cs="Times New Roman"/>
        </w:rPr>
        <w:t>Figure 3 | Spectral overlays comparing classical and quantum-derived EIS fits for the same MXene circuit model.</w:t>
      </w:r>
      <w:r>
        <w:rPr>
          <w:rFonts w:ascii="Times New Roman" w:hAnsi="Times New Roman" w:cs="Times New Roman"/>
        </w:rPr>
        <w:t xml:space="preserve"> </w:t>
      </w:r>
      <w:r w:rsidRPr="008F567B">
        <w:rPr>
          <w:rFonts w:ascii="Times New Roman" w:hAnsi="Times New Roman" w:cs="Times New Roman"/>
        </w:rPr>
        <w:t>(a) Nyquist representation (</w:t>
      </w:r>
      <m:oMath>
        <m:r>
          <w:rPr>
            <w:rStyle w:val="mord"/>
            <w:rFonts w:ascii="Cambria Math" w:hAnsi="Cambria Math" w:cs="Times New Roman"/>
          </w:rPr>
          <m:t>Z'</m:t>
        </m:r>
        <m:r>
          <w:rPr>
            <w:rFonts w:ascii="Cambria Math" w:hAnsi="Cambria Math" w:cs="Times New Roman"/>
          </w:rPr>
          <m:t xml:space="preserve"> vs. </m:t>
        </m:r>
        <m:r>
          <w:rPr>
            <w:rStyle w:val="katex-mathml"/>
            <w:rFonts w:ascii="Cambria Math" w:hAnsi="Cambria Math" w:cs="Times New Roman"/>
          </w:rPr>
          <m:t>-Z''</m:t>
        </m:r>
      </m:oMath>
      <w:r w:rsidRPr="008F567B">
        <w:rPr>
          <w:rFonts w:ascii="Times New Roman" w:hAnsi="Times New Roman" w:cs="Times New Roman"/>
        </w:rPr>
        <w:t xml:space="preserve">) and (b) Bode magnitude </w:t>
      </w:r>
      <m:oMath>
        <m:r>
          <w:rPr>
            <w:rStyle w:val="mord"/>
            <w:rFonts w:ascii="Cambria Math" w:hAnsi="Cambria Math" w:cs="Cambria Math"/>
          </w:rPr>
          <m:t>∣</m:t>
        </m:r>
        <m:r>
          <w:rPr>
            <w:rStyle w:val="mord"/>
            <w:rFonts w:ascii="Cambria Math" w:hAnsi="Cambria Math" w:cs="Times New Roman"/>
          </w:rPr>
          <m:t>Z</m:t>
        </m:r>
        <m:r>
          <w:rPr>
            <w:rStyle w:val="mord"/>
            <w:rFonts w:ascii="Cambria Math" w:hAnsi="Cambria Math" w:cs="Cambria Math"/>
          </w:rPr>
          <m:t>∣</m:t>
        </m:r>
      </m:oMath>
      <w:r w:rsidRPr="008F567B">
        <w:rPr>
          <w:rFonts w:ascii="Times New Roman" w:hAnsi="Times New Roman" w:cs="Times New Roman"/>
        </w:rPr>
        <w:t xml:space="preserve"> and (c) Bode phase versus frequency for the MXene electrode, showing the experimental data (symbols) overlaid with impedance predictions from three parameter-estimation routes using an identical circuit topology </w:t>
      </w:r>
      <m:oMath>
        <m:r>
          <w:rPr>
            <w:rFonts w:ascii="Cambria Math" w:hAnsi="Cambria Math" w:cs="Times New Roman"/>
          </w:rPr>
          <m:t>Z(ω)=</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s</m:t>
            </m:r>
          </m:sub>
        </m:sSub>
        <m:r>
          <w:rPr>
            <w:rFonts w:ascii="Cambria Math" w:hAnsi="Cambria Math" w:cs="Times New Roman"/>
          </w:rPr>
          <m:t>+jωL+(</m:t>
        </m:r>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ct</m:t>
            </m:r>
          </m:sub>
        </m:sSub>
        <m:r>
          <w:rPr>
            <w:rFonts w:ascii="Cambria Math" w:hAnsi="Cambria Math" w:cs="Cambria Math"/>
          </w:rPr>
          <m:t>∥</m:t>
        </m:r>
        <m:sSub>
          <m:sSubPr>
            <m:ctrlPr>
              <w:rPr>
                <w:rFonts w:ascii="Cambria Math" w:hAnsi="Cambria Math" w:cs="Times New Roman"/>
                <w:i/>
              </w:rPr>
            </m:ctrlPr>
          </m:sSubPr>
          <m:e>
            <m:r>
              <w:rPr>
                <w:rFonts w:ascii="Cambria Math" w:hAnsi="Cambria Math" w:cs="Times New Roman"/>
              </w:rPr>
              <m:t>CPE</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CPE</m:t>
            </m:r>
          </m:e>
          <m:sub>
            <m:r>
              <w:rPr>
                <w:rFonts w:ascii="Cambria Math" w:hAnsi="Cambria Math" w:cs="Times New Roman"/>
              </w:rPr>
              <m:t>2</m:t>
            </m:r>
          </m:sub>
        </m:sSub>
      </m:oMath>
      <w:r w:rsidRPr="008F567B">
        <w:rPr>
          <w:rFonts w:ascii="Times New Roman" w:hAnsi="Times New Roman" w:cs="Times New Roman"/>
        </w:rPr>
        <w:t xml:space="preserve">. The </w:t>
      </w:r>
      <w:r w:rsidRPr="008806C4">
        <w:rPr>
          <w:rStyle w:val="a3"/>
          <w:rFonts w:ascii="Times New Roman" w:hAnsi="Times New Roman" w:cs="Times New Roman"/>
          <w:b w:val="0"/>
          <w:bCs w:val="0"/>
        </w:rPr>
        <w:t>classical</w:t>
      </w:r>
      <w:r w:rsidRPr="008F567B">
        <w:rPr>
          <w:rFonts w:ascii="Times New Roman" w:hAnsi="Times New Roman" w:cs="Times New Roman"/>
        </w:rPr>
        <w:t xml:space="preserve"> nonlinear least-squares baseline (orange) provides the reference </w:t>
      </w:r>
      <m:oMath>
        <m:sSup>
          <m:sSupPr>
            <m:ctrlPr>
              <w:rPr>
                <w:rStyle w:val="katex-mathml"/>
                <w:rFonts w:ascii="Cambria Math" w:hAnsi="Cambria Math" w:cs="Times New Roman"/>
                <w:b/>
                <w:bCs/>
                <w:i/>
              </w:rPr>
            </m:ctrlPr>
          </m:sSupPr>
          <m:e>
            <m:r>
              <w:rPr>
                <w:rStyle w:val="katex-mathml"/>
                <w:rFonts w:ascii="Cambria Math" w:hAnsi="Cambria Math" w:cs="Times New Roman"/>
              </w:rPr>
              <m:t>θ</m:t>
            </m:r>
          </m:e>
          <m:sup>
            <m:r>
              <m:rPr>
                <m:sty m:val="bi"/>
              </m:rPr>
              <w:rPr>
                <w:rStyle w:val="katex-mathml"/>
                <w:rFonts w:ascii="Cambria Math" w:hAnsi="Cambria Math" w:cs="Times New Roman"/>
              </w:rPr>
              <m:t>*</m:t>
            </m:r>
          </m:sup>
        </m:sSup>
      </m:oMath>
      <w:r w:rsidRPr="008F567B">
        <w:rPr>
          <w:rFonts w:ascii="Times New Roman" w:hAnsi="Times New Roman" w:cs="Times New Roman"/>
        </w:rPr>
        <w:t xml:space="preserve">. The </w:t>
      </w:r>
      <w:r w:rsidRPr="008806C4">
        <w:rPr>
          <w:rStyle w:val="a3"/>
          <w:rFonts w:ascii="Times New Roman" w:hAnsi="Times New Roman" w:cs="Times New Roman"/>
          <w:b w:val="0"/>
          <w:bCs w:val="0"/>
        </w:rPr>
        <w:t>VQE/VQA continuous branch</w:t>
      </w:r>
      <w:r w:rsidRPr="008F567B">
        <w:rPr>
          <w:rFonts w:ascii="Times New Roman" w:hAnsi="Times New Roman" w:cs="Times New Roman"/>
        </w:rPr>
        <w:t xml:space="preserve"> (green) uses a 7-qubit HEA ansatz with bounded decoding to infer </w:t>
      </w:r>
      <m:oMath>
        <m:r>
          <w:rPr>
            <w:rStyle w:val="mord"/>
            <w:rFonts w:ascii="Cambria Math" w:hAnsi="Cambria Math" w:cs="Times New Roman"/>
          </w:rPr>
          <m:t>θ</m:t>
        </m:r>
      </m:oMath>
      <w:r w:rsidRPr="008F567B">
        <w:rPr>
          <w:rFonts w:ascii="Times New Roman" w:hAnsi="Times New Roman" w:cs="Times New Roman"/>
        </w:rPr>
        <w:t xml:space="preserve"> directly by minimizing the complex-domain loss. The </w:t>
      </w:r>
      <w:r w:rsidRPr="008806C4">
        <w:rPr>
          <w:rStyle w:val="a3"/>
          <w:rFonts w:ascii="Times New Roman" w:hAnsi="Times New Roman" w:cs="Times New Roman"/>
          <w:b w:val="0"/>
          <w:bCs w:val="0"/>
        </w:rPr>
        <w:t>QAOA discrete branch</w:t>
      </w:r>
      <w:r w:rsidRPr="008F567B">
        <w:rPr>
          <w:rFonts w:ascii="Times New Roman" w:hAnsi="Times New Roman" w:cs="Times New Roman"/>
        </w:rPr>
        <w:t xml:space="preserve"> (red) solves a 21-qubit (3-bit × 7-parameter) surrogate QUBO/Ising instance with p=1 QAOA and decodes the best-shot bitstring (trust-region </w:t>
      </w:r>
      <m:oMath>
        <m:r>
          <m:rPr>
            <m:sty m:val="p"/>
          </m:rPr>
          <w:rPr>
            <w:rStyle w:val="katex-mathml"/>
            <w:rFonts w:ascii="Cambria Math" w:hAnsi="Cambria Math" w:cs="Times New Roman"/>
          </w:rPr>
          <m:t>Δ</m:t>
        </m:r>
      </m:oMath>
      <w:r w:rsidRPr="00B21548">
        <w:rPr>
          <w:rStyle w:val="katex-mathml"/>
          <w:rFonts w:ascii="Times New Roman" w:hAnsi="Times New Roman" w:cs="Times New Roman"/>
        </w:rPr>
        <w:t>=0.08</w:t>
      </w:r>
      <w:r w:rsidRPr="008F567B">
        <w:rPr>
          <w:rFonts w:ascii="Times New Roman" w:hAnsi="Times New Roman" w:cs="Times New Roman"/>
        </w:rPr>
        <w:t xml:space="preserve">) to obtain </w:t>
      </w:r>
      <m:oMath>
        <m:r>
          <w:rPr>
            <w:rStyle w:val="mord"/>
            <w:rFonts w:ascii="Cambria Math" w:hAnsi="Cambria Math" w:cs="Times New Roman"/>
          </w:rPr>
          <m:t>θ</m:t>
        </m:r>
      </m:oMath>
      <w:r w:rsidRPr="008F567B">
        <w:rPr>
          <w:rFonts w:ascii="Times New Roman" w:hAnsi="Times New Roman" w:cs="Times New Roman"/>
        </w:rPr>
        <w:t xml:space="preserve">. Across Nyquist, </w:t>
      </w:r>
      <m:oMath>
        <m:r>
          <w:rPr>
            <w:rStyle w:val="mord"/>
            <w:rFonts w:ascii="Cambria Math" w:hAnsi="Cambria Math" w:cs="Cambria Math"/>
          </w:rPr>
          <m:t>∣</m:t>
        </m:r>
        <m:r>
          <w:rPr>
            <w:rStyle w:val="mord"/>
            <w:rFonts w:ascii="Cambria Math" w:hAnsi="Cambria Math" w:cs="Times New Roman"/>
          </w:rPr>
          <m:t>Z</m:t>
        </m:r>
        <m:r>
          <w:rPr>
            <w:rStyle w:val="mord"/>
            <w:rFonts w:ascii="Cambria Math" w:hAnsi="Cambria Math" w:cs="Cambria Math"/>
          </w:rPr>
          <m:t>∣</m:t>
        </m:r>
      </m:oMath>
      <w:r w:rsidRPr="008F567B">
        <w:rPr>
          <w:rFonts w:ascii="Times New Roman" w:hAnsi="Times New Roman" w:cs="Times New Roman"/>
        </w:rPr>
        <w:t>, and phase spectra, the quantum branches reproduce the measured response with comparable fidelity to the classical fit, demonstrating that both continuous and discrete quantum inference pipelines can recover physically consistent MXene EIS parameters within the same model class.</w:t>
      </w:r>
    </w:p>
    <w:p w14:paraId="0918F7A9" w14:textId="77777777" w:rsidR="008806C4" w:rsidRPr="008F567B" w:rsidRDefault="008806C4" w:rsidP="008806C4">
      <w:pPr>
        <w:spacing w:before="100" w:beforeAutospacing="1" w:after="100" w:afterAutospacing="1" w:line="360" w:lineRule="auto"/>
        <w:jc w:val="both"/>
        <w:rPr>
          <w:rFonts w:ascii="Times New Roman" w:hAnsi="Times New Roman" w:cs="Times New Roman"/>
        </w:rPr>
      </w:pPr>
      <w:r>
        <w:rPr>
          <w:rFonts w:ascii="Times New Roman" w:hAnsi="Times New Roman" w:cs="Times New Roman"/>
          <w:noProof/>
        </w:rPr>
        <w:drawing>
          <wp:inline distT="0" distB="0" distL="0" distR="0" wp14:anchorId="1DE1D6C7" wp14:editId="7BF95599">
            <wp:extent cx="6120130" cy="1788795"/>
            <wp:effectExtent l="0" t="0" r="1270" b="1905"/>
            <wp:docPr id="6" name="圖片 6" descr="一張含有 行, 繪圖, 圖表,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descr="一張含有 行, 繪圖, 圖表, 螢幕擷取畫面 的圖片&#10;&#10;自動產生的描述"/>
                    <pic:cNvPicPr/>
                  </pic:nvPicPr>
                  <pic:blipFill>
                    <a:blip r:embed="rId4" cstate="print">
                      <a:extLst>
                        <a:ext uri="{28A0092B-C50C-407E-A947-70E740481C1C}">
                          <a14:useLocalDpi xmlns:a14="http://schemas.microsoft.com/office/drawing/2010/main" val="0"/>
                        </a:ext>
                      </a:extLst>
                    </a:blip>
                    <a:stretch>
                      <a:fillRect/>
                    </a:stretch>
                  </pic:blipFill>
                  <pic:spPr>
                    <a:xfrm>
                      <a:off x="0" y="0"/>
                      <a:ext cx="6120130" cy="1788795"/>
                    </a:xfrm>
                    <a:prstGeom prst="rect">
                      <a:avLst/>
                    </a:prstGeom>
                  </pic:spPr>
                </pic:pic>
              </a:graphicData>
            </a:graphic>
          </wp:inline>
        </w:drawing>
      </w:r>
    </w:p>
    <w:p w14:paraId="30DA7FA1" w14:textId="77777777" w:rsidR="00635133" w:rsidRDefault="00635133"/>
    <w:sectPr w:rsidR="00635133" w:rsidSect="008806C4">
      <w:pgSz w:w="11906" w:h="16838"/>
      <w:pgMar w:top="1134" w:right="1134" w:bottom="1134" w:left="1134"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6C4"/>
    <w:rsid w:val="00635133"/>
    <w:rsid w:val="008806C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FE3DD79"/>
  <w15:chartTrackingRefBased/>
  <w15:docId w15:val="{43B22DEF-7BFE-C54B-8C29-64EC4978D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06C4"/>
    <w:rPr>
      <w:rFonts w:ascii="新細明體" w:eastAsia="新細明體" w:hAnsi="新細明體" w:cs="新細明體"/>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8806C4"/>
    <w:rPr>
      <w:b/>
      <w:bCs/>
    </w:rPr>
  </w:style>
  <w:style w:type="character" w:customStyle="1" w:styleId="katex-mathml">
    <w:name w:val="katex-mathml"/>
    <w:basedOn w:val="a0"/>
    <w:rsid w:val="008806C4"/>
  </w:style>
  <w:style w:type="character" w:customStyle="1" w:styleId="mord">
    <w:name w:val="mord"/>
    <w:basedOn w:val="a0"/>
    <w:rsid w:val="008806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175</Words>
  <Characters>1003</Characters>
  <Application>Microsoft Office Word</Application>
  <DocSecurity>0</DocSecurity>
  <Lines>8</Lines>
  <Paragraphs>2</Paragraphs>
  <ScaleCrop>false</ScaleCrop>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吳勝允</dc:creator>
  <cp:keywords/>
  <dc:description/>
  <cp:lastModifiedBy>吳勝允</cp:lastModifiedBy>
  <cp:revision>1</cp:revision>
  <dcterms:created xsi:type="dcterms:W3CDTF">2026-02-28T03:51:00Z</dcterms:created>
  <dcterms:modified xsi:type="dcterms:W3CDTF">2026-02-28T03:59:00Z</dcterms:modified>
</cp:coreProperties>
</file>