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63C5B" w14:textId="77777777" w:rsidR="000C661A" w:rsidRDefault="000C661A" w:rsidP="000C661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C7D23">
        <w:rPr>
          <w:rStyle w:val="a3"/>
          <w:rFonts w:ascii="Times New Roman" w:hAnsi="Times New Roman" w:cs="Times New Roman"/>
        </w:rPr>
        <w:t>Figure 5 | Convergence behavior and robustness of the quantum inference pipelines.</w:t>
      </w:r>
      <w:r>
        <w:rPr>
          <w:rFonts w:ascii="Times New Roman" w:hAnsi="Times New Roman" w:cs="Times New Roman"/>
        </w:rPr>
        <w:t xml:space="preserve"> </w:t>
      </w:r>
      <w:r w:rsidRPr="005C7D23">
        <w:rPr>
          <w:rFonts w:ascii="Times New Roman" w:hAnsi="Times New Roman" w:cs="Times New Roman"/>
        </w:rPr>
        <w:t xml:space="preserve">(a) </w:t>
      </w:r>
      <w:r w:rsidRPr="005C7D23">
        <w:rPr>
          <w:rStyle w:val="a3"/>
          <w:rFonts w:ascii="Times New Roman" w:hAnsi="Times New Roman" w:cs="Times New Roman"/>
        </w:rPr>
        <w:t>Continuous VQE/VQA convergence</w:t>
      </w:r>
      <w:r w:rsidRPr="005C7D23">
        <w:rPr>
          <w:rFonts w:ascii="Times New Roman" w:hAnsi="Times New Roman" w:cs="Times New Roman"/>
        </w:rPr>
        <w:t xml:space="preserve"> shown as the true complex-domain EIS cost (SSE) versus optimization iteration (</w:t>
      </w:r>
      <m:oMath>
        <m:r>
          <w:rPr>
            <w:rFonts w:ascii="Cambria Math" w:hAnsi="Cambria Math" w:cs="Times New Roman"/>
          </w:rPr>
          <m:t>mean ± s.e.</m:t>
        </m:r>
      </m:oMath>
      <w:r w:rsidRPr="005C7D23">
        <w:rPr>
          <w:rFonts w:ascii="Times New Roman" w:hAnsi="Times New Roman" w:cs="Times New Roman"/>
        </w:rPr>
        <w:t xml:space="preserve"> over random starts/seeds), demonstrating rapid reduction of the full circuit-model misfit under the bounded-decoding parameterization. (b) </w:t>
      </w:r>
      <w:r w:rsidRPr="000C661A">
        <w:rPr>
          <w:rStyle w:val="a3"/>
          <w:rFonts w:ascii="Times New Roman" w:hAnsi="Times New Roman" w:cs="Times New Roman"/>
          <w:b w:val="0"/>
          <w:bCs w:val="0"/>
        </w:rPr>
        <w:t>Discrete QAOA convergence</w:t>
      </w:r>
      <w:r w:rsidRPr="005C7D23">
        <w:rPr>
          <w:rFonts w:ascii="Times New Roman" w:hAnsi="Times New Roman" w:cs="Times New Roman"/>
        </w:rPr>
        <w:t xml:space="preserve"> summarized as the best-so-far expected Ising energy </w:t>
      </w:r>
      <m:oMath>
        <m:r>
          <w:rPr>
            <w:rStyle w:val="katex-mathml"/>
            <w:rFonts w:ascii="Cambria Math" w:hAnsi="Cambria Math" w:cs="Cambria Math"/>
          </w:rPr>
          <m:t>⟨</m:t>
        </m:r>
        <m:r>
          <w:rPr>
            <w:rStyle w:val="katex-mathml"/>
            <w:rFonts w:ascii="Cambria Math" w:hAnsi="Cambria Math" w:cs="Times New Roman"/>
          </w:rPr>
          <m:t>H</m:t>
        </m:r>
        <m:r>
          <w:rPr>
            <w:rStyle w:val="katex-mathml"/>
            <w:rFonts w:ascii="Cambria Math" w:hAnsi="Cambria Math" w:cs="Cambria Math"/>
          </w:rPr>
          <m:t>⟩</m:t>
        </m:r>
      </m:oMath>
      <w:r w:rsidRPr="005C7D23">
        <w:rPr>
          <w:rFonts w:ascii="Times New Roman" w:hAnsi="Times New Roman" w:cs="Times New Roman"/>
        </w:rPr>
        <w:t xml:space="preserve"> versus </w:t>
      </w:r>
      <w:r w:rsidRPr="005C7D23">
        <w:rPr>
          <w:rStyle w:val="katex-mathml"/>
          <w:rFonts w:ascii="Times New Roman" w:hAnsi="Times New Roman" w:cs="Times New Roman"/>
        </w:rPr>
        <w:t>(</w:t>
      </w:r>
      <m:oMath>
        <m:r>
          <w:rPr>
            <w:rStyle w:val="katex-mathml"/>
            <w:rFonts w:ascii="Cambria Math" w:hAnsi="Cambria Math" w:cs="Times New Roman"/>
          </w:rPr>
          <m:t>γ,β</m:t>
        </m:r>
      </m:oMath>
      <w:r w:rsidRPr="005C7D23">
        <w:rPr>
          <w:rStyle w:val="katex-mathml"/>
          <w:rFonts w:ascii="Times New Roman" w:hAnsi="Times New Roman" w:cs="Times New Roman"/>
        </w:rPr>
        <w:t>)</w:t>
      </w:r>
      <w:r w:rsidRPr="005C7D23">
        <w:rPr>
          <w:rFonts w:ascii="Times New Roman" w:hAnsi="Times New Roman" w:cs="Times New Roman"/>
        </w:rPr>
        <w:t xml:space="preserve"> angle evaluation during the two-stage grid search; the dashed marker indicates the transition from the coarse scan to the refined local window used to select </w:t>
      </w:r>
      <w:r w:rsidRPr="005C7D23">
        <w:rPr>
          <w:rStyle w:val="katex-mathml"/>
          <w:rFonts w:ascii="Times New Roman" w:hAnsi="Times New Roman" w:cs="Times New Roman"/>
        </w:rPr>
        <w:t>(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γ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</m:oMath>
      <w:r w:rsidRPr="005C7D23">
        <w:rPr>
          <w:rStyle w:val="katex-mathml"/>
          <w:rFonts w:ascii="Times New Roman" w:hAnsi="Times New Roman" w:cs="Times New Roman"/>
        </w:rPr>
        <w:t>,</w:t>
      </w:r>
      <w:r>
        <w:rPr>
          <w:rStyle w:val="katex-mathml"/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β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</m:oMath>
      <w:r w:rsidRPr="005C7D23">
        <w:rPr>
          <w:rStyle w:val="mclose"/>
          <w:rFonts w:ascii="Times New Roman" w:hAnsi="Times New Roman" w:cs="Times New Roman"/>
        </w:rPr>
        <w:t>)</w:t>
      </w:r>
      <w:r w:rsidRPr="005C7D23">
        <w:rPr>
          <w:rFonts w:ascii="Times New Roman" w:hAnsi="Times New Roman" w:cs="Times New Roman"/>
        </w:rPr>
        <w:t xml:space="preserve"> for final sampling. (c) </w:t>
      </w:r>
      <w:r w:rsidRPr="000C661A">
        <w:rPr>
          <w:rStyle w:val="a3"/>
          <w:rFonts w:ascii="Times New Roman" w:hAnsi="Times New Roman" w:cs="Times New Roman"/>
          <w:b w:val="0"/>
          <w:bCs w:val="0"/>
        </w:rPr>
        <w:t>Noise robustness of recovered parameters</w:t>
      </w:r>
      <w:r w:rsidRPr="005C7D23">
        <w:rPr>
          <w:rFonts w:ascii="Times New Roman" w:hAnsi="Times New Roman" w:cs="Times New Roman"/>
        </w:rPr>
        <w:t xml:space="preserve"> quantified by the coefficient of variation (CV%) across refits under controlled complex Gaussian noise levels (scaled by </w:t>
      </w:r>
      <m:oMath>
        <m:r>
          <w:rPr>
            <w:rStyle w:val="mord"/>
            <w:rFonts w:ascii="Cambria Math" w:hAnsi="Cambria Math" w:cs="Cambria Math"/>
          </w:rPr>
          <m:t>∣</m:t>
        </m:r>
        <m:r>
          <w:rPr>
            <w:rStyle w:val="mord"/>
            <w:rFonts w:ascii="Cambria Math" w:hAnsi="Cambria Math" w:cs="Times New Roman"/>
          </w:rPr>
          <m:t>Z</m:t>
        </m:r>
        <m:r>
          <w:rPr>
            <w:rStyle w:val="mord"/>
            <w:rFonts w:ascii="Cambria Math" w:hAnsi="Cambria Math" w:cs="Cambria Math"/>
          </w:rPr>
          <m:t>∣</m:t>
        </m:r>
      </m:oMath>
      <w:r w:rsidRPr="005C7D23">
        <w:rPr>
          <w:rFonts w:ascii="Times New Roman" w:hAnsi="Times New Roman" w:cs="Times New Roman"/>
        </w:rPr>
        <w:t xml:space="preserve">), highlighting which circuit parameters remain stable and which become noise sensitive as perturbations increase. (d) </w:t>
      </w:r>
      <w:r w:rsidRPr="000C661A">
        <w:rPr>
          <w:rStyle w:val="a3"/>
          <w:rFonts w:ascii="Times New Roman" w:hAnsi="Times New Roman" w:cs="Times New Roman"/>
          <w:b w:val="0"/>
          <w:bCs w:val="0"/>
        </w:rPr>
        <w:t>Failure diagnostics versus noise level</w:t>
      </w:r>
      <w:r w:rsidRPr="005C7D23">
        <w:rPr>
          <w:rFonts w:ascii="Times New Roman" w:hAnsi="Times New Roman" w:cs="Times New Roman"/>
        </w:rPr>
        <w:t>, reporting the boundary-hit rate (solutions pinned near parameter bounds) and a non-improvement/non-convergence rate, providing practical indicators of solver reliability and identifiability degradation under increasing measurement noise.</w:t>
      </w:r>
    </w:p>
    <w:p w14:paraId="3F95375B" w14:textId="5B264959" w:rsidR="00635133" w:rsidRDefault="000C661A" w:rsidP="000C661A"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D8B073" wp14:editId="21F612CE">
            <wp:extent cx="6120130" cy="4647565"/>
            <wp:effectExtent l="0" t="0" r="1270" b="635"/>
            <wp:docPr id="9" name="圖片 9" descr="一張含有 文字, 螢幕擷取畫面, 圖表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文字, 螢幕擷取畫面, 圖表, 軟體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133" w:rsidSect="000C661A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1A"/>
    <w:rsid w:val="000C661A"/>
    <w:rsid w:val="0063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AF4A1E"/>
  <w15:chartTrackingRefBased/>
  <w15:docId w15:val="{807C365F-A53B-3143-A387-474E95B0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661A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C661A"/>
    <w:rPr>
      <w:b/>
      <w:bCs/>
    </w:rPr>
  </w:style>
  <w:style w:type="character" w:customStyle="1" w:styleId="katex-mathml">
    <w:name w:val="katex-mathml"/>
    <w:basedOn w:val="a0"/>
    <w:rsid w:val="000C661A"/>
  </w:style>
  <w:style w:type="character" w:customStyle="1" w:styleId="mord">
    <w:name w:val="mord"/>
    <w:basedOn w:val="a0"/>
    <w:rsid w:val="000C661A"/>
  </w:style>
  <w:style w:type="character" w:customStyle="1" w:styleId="mclose">
    <w:name w:val="mclose"/>
    <w:basedOn w:val="a0"/>
    <w:rsid w:val="000C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2026-02-28T03:53:00Z</dcterms:created>
  <dcterms:modified xsi:type="dcterms:W3CDTF">2026-02-28T03:54:00Z</dcterms:modified>
</cp:coreProperties>
</file>