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8ED82" w14:textId="77777777" w:rsidR="004844D0" w:rsidRDefault="004844D0" w:rsidP="004844D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E45300">
        <w:rPr>
          <w:rStyle w:val="a3"/>
          <w:rFonts w:ascii="Times New Roman" w:hAnsi="Times New Roman" w:cs="Times New Roman"/>
        </w:rPr>
        <w:t>Figure 6 | Identifiability structure of the 7-parameter MXene EIS model under measurement noise.</w:t>
      </w:r>
      <w:r>
        <w:rPr>
          <w:rFonts w:ascii="Times New Roman" w:hAnsi="Times New Roman" w:cs="Times New Roman"/>
        </w:rPr>
        <w:t xml:space="preserve"> </w:t>
      </w:r>
      <w:r w:rsidRPr="00E45300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)-(</w:t>
      </w:r>
      <w:r w:rsidRPr="00E45300">
        <w:rPr>
          <w:rFonts w:ascii="Times New Roman" w:hAnsi="Times New Roman" w:cs="Times New Roman"/>
        </w:rPr>
        <w:t xml:space="preserve">b) Distributions of the CPE dispersion exponents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α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1</m:t>
            </m:r>
          </m:sub>
        </m:sSub>
      </m:oMath>
      <w:r w:rsidRPr="00E45300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α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2</m:t>
            </m:r>
          </m:sub>
        </m:sSub>
      </m:oMath>
      <w:r w:rsidRPr="00E45300">
        <w:rPr>
          <w:rFonts w:ascii="Times New Roman" w:hAnsi="Times New Roman" w:cs="Times New Roman"/>
        </w:rPr>
        <w:t xml:space="preserve"> recovered from bounded refits across increasing complex-noise levels (scaled by </w:t>
      </w:r>
      <m:oMath>
        <m:r>
          <w:rPr>
            <w:rStyle w:val="mord"/>
            <w:rFonts w:ascii="Cambria Math" w:hAnsi="Cambria Math" w:cs="Cambria Math"/>
          </w:rPr>
          <m:t>∣</m:t>
        </m:r>
        <m:r>
          <w:rPr>
            <w:rStyle w:val="mord"/>
            <w:rFonts w:ascii="Cambria Math" w:hAnsi="Cambria Math" w:cs="Times New Roman"/>
          </w:rPr>
          <m:t>Z</m:t>
        </m:r>
        <m:r>
          <w:rPr>
            <w:rStyle w:val="mord"/>
            <w:rFonts w:ascii="Cambria Math" w:hAnsi="Cambria Math" w:cs="Cambria Math"/>
          </w:rPr>
          <m:t>∣</m:t>
        </m:r>
      </m:oMath>
      <w:r w:rsidRPr="00E45300">
        <w:rPr>
          <w:rFonts w:ascii="Times New Roman" w:hAnsi="Times New Roman" w:cs="Times New Roman"/>
        </w:rPr>
        <w:t>), shown as violin/cluster summaries to visualize concentration, spread, and drift with noise.</w:t>
      </w:r>
      <w:r>
        <w:rPr>
          <w:rFonts w:ascii="Times New Roman" w:hAnsi="Times New Roman" w:cs="Times New Roman"/>
        </w:rPr>
        <w:t xml:space="preserve"> </w:t>
      </w:r>
      <w:r w:rsidRPr="00E4530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c)-(d</w:t>
      </w:r>
      <w:r w:rsidRPr="00E45300">
        <w:rPr>
          <w:rFonts w:ascii="Times New Roman" w:hAnsi="Times New Roman" w:cs="Times New Roman"/>
        </w:rPr>
        <w:t xml:space="preserve">) Residual–parameter diagnostics for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α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1</m:t>
            </m:r>
          </m:sub>
        </m:sSub>
      </m:oMath>
      <w:r w:rsidRPr="00E45300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α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2</m:t>
            </m:r>
          </m:sub>
        </m:sSub>
      </m:oMath>
      <w:r w:rsidRPr="00E45300">
        <w:rPr>
          <w:rFonts w:ascii="Times New Roman" w:hAnsi="Times New Roman" w:cs="Times New Roman"/>
        </w:rPr>
        <w:t xml:space="preserve">, plotting the true SSE evaluated on the </w:t>
      </w:r>
      <w:r w:rsidRPr="00E45300">
        <w:rPr>
          <w:rStyle w:val="a4"/>
          <w:rFonts w:ascii="Times New Roman" w:hAnsi="Times New Roman" w:cs="Times New Roman"/>
        </w:rPr>
        <w:t>clean</w:t>
      </w:r>
      <w:r w:rsidRPr="00E45300">
        <w:rPr>
          <w:rFonts w:ascii="Times New Roman" w:hAnsi="Times New Roman" w:cs="Times New Roman"/>
        </w:rPr>
        <w:t xml:space="preserve"> spectrum versus the recovered exponent value across refits; these panels show how exponent variability translates into fit quality and identify regions where multiple exponent values produce near-equivalent spectral error, consistent with a shallow or correlated manifold. (</w:t>
      </w:r>
      <w:r>
        <w:rPr>
          <w:rFonts w:ascii="Times New Roman" w:hAnsi="Times New Roman" w:cs="Times New Roman"/>
        </w:rPr>
        <w:t>e</w:t>
      </w:r>
      <w:r w:rsidRPr="00E45300">
        <w:rPr>
          <w:rFonts w:ascii="Times New Roman" w:hAnsi="Times New Roman" w:cs="Times New Roman"/>
        </w:rPr>
        <w:t xml:space="preserve">) Pearson correlation matrix of the fitted parameter vector </w:t>
      </w:r>
      <m:oMath>
        <m:r>
          <w:rPr>
            <w:rFonts w:ascii="Cambria Math" w:hAnsi="Cambria Math" w:cs="Times New Roman"/>
          </w:rPr>
          <m:t>θ={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,L,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ct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}</m:t>
        </m:r>
      </m:oMath>
      <w:r w:rsidRPr="00E45300">
        <w:rPr>
          <w:rFonts w:ascii="Times New Roman" w:hAnsi="Times New Roman" w:cs="Times New Roman"/>
        </w:rPr>
        <w:t xml:space="preserve"> computed across noisy refits, revealing compensatory </w:t>
      </w:r>
      <w:proofErr w:type="gramStart"/>
      <w:r w:rsidRPr="00E45300">
        <w:rPr>
          <w:rFonts w:ascii="Times New Roman" w:hAnsi="Times New Roman" w:cs="Times New Roman"/>
        </w:rPr>
        <w:t>trade-offs</w:t>
      </w:r>
      <w:proofErr w:type="gramEnd"/>
      <w:r w:rsidRPr="00E45300">
        <w:rPr>
          <w:rFonts w:ascii="Times New Roman" w:hAnsi="Times New Roman" w:cs="Times New Roman"/>
        </w:rPr>
        <w:t xml:space="preserve"> and coupled directions in parameter space. (</w:t>
      </w:r>
      <w:r>
        <w:rPr>
          <w:rFonts w:ascii="Times New Roman" w:hAnsi="Times New Roman" w:cs="Times New Roman"/>
        </w:rPr>
        <w:t>f</w:t>
      </w:r>
      <w:r w:rsidRPr="00E45300">
        <w:rPr>
          <w:rFonts w:ascii="Times New Roman" w:hAnsi="Times New Roman" w:cs="Times New Roman"/>
        </w:rPr>
        <w:t xml:space="preserve">) Thresholded coupling/block map highlighting strongly correlated pairs (e.g., </w:t>
      </w:r>
      <m:oMath>
        <m:r>
          <w:rPr>
            <w:rStyle w:val="katex-mathml"/>
            <w:rFonts w:ascii="Cambria Math" w:hAnsi="Cambria Math" w:cs="Cambria Math"/>
          </w:rPr>
          <m:t>∣</m:t>
        </m:r>
        <m:r>
          <w:rPr>
            <w:rStyle w:val="katex-mathml"/>
            <w:rFonts w:ascii="Cambria Math" w:hAnsi="Cambria Math" w:cs="Times New Roman"/>
          </w:rPr>
          <m:t>r</m:t>
        </m:r>
        <m:r>
          <w:rPr>
            <w:rStyle w:val="katex-mathml"/>
            <w:rFonts w:ascii="Cambria Math" w:hAnsi="Cambria Math" w:cs="Cambria Math"/>
          </w:rPr>
          <m:t>∣</m:t>
        </m:r>
        <m:r>
          <w:rPr>
            <w:rStyle w:val="katex-mathml"/>
            <w:rFonts w:ascii="Cambria Math" w:hAnsi="Cambria Math" w:cs="Times New Roman"/>
          </w:rPr>
          <m:t>≥0.7</m:t>
        </m:r>
      </m:oMath>
      <w:r w:rsidRPr="00E45300">
        <w:rPr>
          <w:rFonts w:ascii="Times New Roman" w:hAnsi="Times New Roman" w:cs="Times New Roman"/>
        </w:rPr>
        <w:t>), which delin</w:t>
      </w:r>
      <w:proofErr w:type="spellStart"/>
      <w:r w:rsidRPr="00E45300">
        <w:rPr>
          <w:rFonts w:ascii="Times New Roman" w:hAnsi="Times New Roman" w:cs="Times New Roman"/>
        </w:rPr>
        <w:t>eates</w:t>
      </w:r>
      <w:proofErr w:type="spellEnd"/>
      <w:r w:rsidRPr="00E45300">
        <w:rPr>
          <w:rFonts w:ascii="Times New Roman" w:hAnsi="Times New Roman" w:cs="Times New Roman"/>
        </w:rPr>
        <w:t xml:space="preserve"> the dominant degeneracy structure that limits unique parameter recovery. </w:t>
      </w:r>
    </w:p>
    <w:p w14:paraId="1812AE06" w14:textId="58086B82" w:rsidR="00635133" w:rsidRPr="004844D0" w:rsidRDefault="004844D0">
      <w:r>
        <w:rPr>
          <w:rFonts w:ascii="Times New Roman" w:hAnsi="Times New Roman" w:cs="Times New Roman"/>
          <w:noProof/>
        </w:rPr>
        <w:drawing>
          <wp:inline distT="0" distB="0" distL="0" distR="0" wp14:anchorId="56114E97" wp14:editId="1D5F5813">
            <wp:extent cx="6120130" cy="3309620"/>
            <wp:effectExtent l="0" t="0" r="1270" b="5080"/>
            <wp:docPr id="11" name="圖片 11" descr="一張含有 圖表, 螢幕擷取畫面, Rectangle, 正方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 descr="一張含有 圖表, 螢幕擷取畫面, Rectangle, 正方形 的圖片&#10;&#10;自動產生的描述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133" w:rsidRPr="004844D0" w:rsidSect="004844D0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4D0"/>
    <w:rsid w:val="004844D0"/>
    <w:rsid w:val="0063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D679D"/>
  <w15:chartTrackingRefBased/>
  <w15:docId w15:val="{74F7F14B-3DC6-C946-B6EF-FBC46319B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44D0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844D0"/>
    <w:rPr>
      <w:b/>
      <w:bCs/>
    </w:rPr>
  </w:style>
  <w:style w:type="character" w:customStyle="1" w:styleId="katex-mathml">
    <w:name w:val="katex-mathml"/>
    <w:basedOn w:val="a0"/>
    <w:rsid w:val="004844D0"/>
  </w:style>
  <w:style w:type="character" w:customStyle="1" w:styleId="mord">
    <w:name w:val="mord"/>
    <w:basedOn w:val="a0"/>
    <w:rsid w:val="004844D0"/>
  </w:style>
  <w:style w:type="character" w:styleId="a4">
    <w:name w:val="Emphasis"/>
    <w:basedOn w:val="a0"/>
    <w:uiPriority w:val="20"/>
    <w:qFormat/>
    <w:rsid w:val="004844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1</cp:revision>
  <dcterms:created xsi:type="dcterms:W3CDTF">2026-02-28T03:54:00Z</dcterms:created>
  <dcterms:modified xsi:type="dcterms:W3CDTF">2026-02-28T03:55:00Z</dcterms:modified>
</cp:coreProperties>
</file>