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92902" w14:textId="77777777" w:rsidR="00F12DC3" w:rsidRDefault="00F12DC3" w:rsidP="00F12DC3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 w:rsidRPr="00EA6544">
        <w:rPr>
          <w:rStyle w:val="a3"/>
          <w:rFonts w:ascii="Times New Roman" w:hAnsi="Times New Roman" w:cs="Times New Roman"/>
        </w:rPr>
        <w:t>Figure S</w:t>
      </w:r>
      <w:r>
        <w:rPr>
          <w:rStyle w:val="a3"/>
          <w:rFonts w:ascii="Times New Roman" w:hAnsi="Times New Roman" w:cs="Times New Roman"/>
        </w:rPr>
        <w:t>3</w:t>
      </w:r>
      <w:r w:rsidRPr="00EA6544">
        <w:rPr>
          <w:rStyle w:val="a3"/>
          <w:rFonts w:ascii="Times New Roman" w:hAnsi="Times New Roman" w:cs="Times New Roman"/>
        </w:rPr>
        <w:t xml:space="preserve"> | Parity diagnostics for complex-domain fitting across classical and quantum branches.</w:t>
      </w:r>
      <w:r>
        <w:rPr>
          <w:rFonts w:ascii="Times New Roman" w:hAnsi="Times New Roman" w:cs="Times New Roman"/>
        </w:rPr>
        <w:t xml:space="preserve"> </w:t>
      </w:r>
      <w:r w:rsidRPr="00EA6544">
        <w:rPr>
          <w:rFonts w:ascii="Times New Roman" w:hAnsi="Times New Roman" w:cs="Times New Roman"/>
        </w:rPr>
        <w:t xml:space="preserve">(a) Parity plot for the real component, comparing </w:t>
      </w:r>
      <m:oMath>
        <m:r>
          <m:rPr>
            <m:scr m:val="fraktur"/>
          </m:rPr>
          <w:rPr>
            <w:rStyle w:val="katex-mathml"/>
            <w:rFonts w:ascii="Cambria Math" w:hAnsi="Cambria Math" w:cs="Times New Roman"/>
          </w:rPr>
          <m:t>R(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Z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fit</m:t>
            </m:r>
          </m:sub>
        </m:sSub>
        <m:r>
          <w:rPr>
            <w:rStyle w:val="katex-mathml"/>
            <w:rFonts w:ascii="Cambria Math" w:hAnsi="Cambria Math" w:cs="Times New Roman"/>
          </w:rPr>
          <m:t>)</m:t>
        </m:r>
      </m:oMath>
      <w:r w:rsidRPr="00EA6544">
        <w:rPr>
          <w:rFonts w:ascii="Times New Roman" w:hAnsi="Times New Roman" w:cs="Times New Roman"/>
        </w:rPr>
        <w:t xml:space="preserve"> against </w:t>
      </w:r>
      <m:oMath>
        <m:r>
          <m:rPr>
            <m:scr m:val="fraktur"/>
          </m:rPr>
          <w:rPr>
            <w:rStyle w:val="katex-mathml"/>
            <w:rFonts w:ascii="Cambria Math" w:hAnsi="Cambria Math" w:cs="Times New Roman"/>
          </w:rPr>
          <m:t>R(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Z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data</m:t>
            </m:r>
          </m:sub>
        </m:sSub>
        <m:r>
          <w:rPr>
            <w:rStyle w:val="katex-mathml"/>
            <w:rFonts w:ascii="Cambria Math" w:hAnsi="Cambria Math" w:cs="Times New Roman"/>
          </w:rPr>
          <m:t>)</m:t>
        </m:r>
      </m:oMath>
      <w:r w:rsidRPr="00EA6544">
        <w:rPr>
          <w:rFonts w:ascii="Times New Roman" w:hAnsi="Times New Roman" w:cs="Times New Roman"/>
        </w:rPr>
        <w:t xml:space="preserve"> across all measured frequencies for the classical baseline fit, the cont</w:t>
      </w:r>
      <w:proofErr w:type="spellStart"/>
      <w:r w:rsidRPr="00EA6544">
        <w:rPr>
          <w:rFonts w:ascii="Times New Roman" w:hAnsi="Times New Roman" w:cs="Times New Roman"/>
        </w:rPr>
        <w:t>inuous</w:t>
      </w:r>
      <w:proofErr w:type="spellEnd"/>
      <w:r w:rsidRPr="00EA6544">
        <w:rPr>
          <w:rFonts w:ascii="Times New Roman" w:hAnsi="Times New Roman" w:cs="Times New Roman"/>
        </w:rPr>
        <w:t xml:space="preserve"> VQE/VQA solution, and the discrete QAOA-derived solution. (b) Corresponding parity plot for the imaginary component using </w:t>
      </w:r>
      <m:oMath>
        <m:r>
          <m:rPr>
            <m:scr m:val="fraktur"/>
          </m:rPr>
          <w:rPr>
            <w:rStyle w:val="katex-mathml"/>
            <w:rFonts w:ascii="Cambria Math" w:hAnsi="Cambria Math" w:cs="Times New Roman"/>
          </w:rPr>
          <m:t>-I(</m:t>
        </m:r>
        <m:r>
          <w:rPr>
            <w:rStyle w:val="katex-mathml"/>
            <w:rFonts w:ascii="Cambria Math" w:hAnsi="Cambria Math" w:cs="Times New Roman"/>
          </w:rPr>
          <m:t>Z)</m:t>
        </m:r>
      </m:oMath>
      <w:r w:rsidRPr="00EA6544">
        <w:rPr>
          <w:rFonts w:ascii="Times New Roman" w:hAnsi="Times New Roman" w:cs="Times New Roman"/>
        </w:rPr>
        <w:t xml:space="preserve">, comparing </w:t>
      </w:r>
      <m:oMath>
        <m:r>
          <m:rPr>
            <m:scr m:val="fraktur"/>
          </m:rPr>
          <w:rPr>
            <w:rStyle w:val="katex-mathml"/>
            <w:rFonts w:ascii="Cambria Math" w:hAnsi="Cambria Math" w:cs="Times New Roman"/>
          </w:rPr>
          <m:t>-I(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Z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fit</m:t>
            </m:r>
          </m:sub>
        </m:sSub>
        <m:r>
          <w:rPr>
            <w:rStyle w:val="katex-mathml"/>
            <w:rFonts w:ascii="Cambria Math" w:hAnsi="Cambria Math" w:cs="Times New Roman"/>
          </w:rPr>
          <m:t>)</m:t>
        </m:r>
      </m:oMath>
      <w:r w:rsidRPr="00EA6544">
        <w:rPr>
          <w:rFonts w:ascii="Times New Roman" w:hAnsi="Times New Roman" w:cs="Times New Roman"/>
        </w:rPr>
        <w:t xml:space="preserve"> versus </w:t>
      </w:r>
      <m:oMath>
        <m:r>
          <m:rPr>
            <m:scr m:val="fraktur"/>
          </m:rPr>
          <w:rPr>
            <w:rStyle w:val="katex-mathml"/>
            <w:rFonts w:ascii="Cambria Math" w:hAnsi="Cambria Math" w:cs="Times New Roman"/>
          </w:rPr>
          <m:t>-I(</m:t>
        </m:r>
        <m:sSub>
          <m:sSubPr>
            <m:ctrlPr>
              <w:rPr>
                <w:rStyle w:val="katex-mathml"/>
                <w:rFonts w:ascii="Cambria Math" w:hAnsi="Cambria Math" w:cs="Times New Roman"/>
                <w:i/>
              </w:rPr>
            </m:ctrlPr>
          </m:sSubPr>
          <m:e>
            <m:r>
              <w:rPr>
                <w:rStyle w:val="katex-mathml"/>
                <w:rFonts w:ascii="Cambria Math" w:hAnsi="Cambria Math" w:cs="Times New Roman"/>
              </w:rPr>
              <m:t>Z</m:t>
            </m:r>
          </m:e>
          <m:sub>
            <m:r>
              <w:rPr>
                <w:rStyle w:val="katex-mathml"/>
                <w:rFonts w:ascii="Cambria Math" w:hAnsi="Cambria Math" w:cs="Times New Roman"/>
              </w:rPr>
              <m:t>data</m:t>
            </m:r>
          </m:sub>
        </m:sSub>
        <m:r>
          <w:rPr>
            <w:rStyle w:val="katex-mathml"/>
            <w:rFonts w:ascii="Cambria Math" w:hAnsi="Cambria Math" w:cs="Times New Roman"/>
          </w:rPr>
          <m:t>)</m:t>
        </m:r>
      </m:oMath>
      <w:r w:rsidRPr="00EA6544">
        <w:rPr>
          <w:rFonts w:ascii="Times New Roman" w:hAnsi="Times New Roman" w:cs="Times New Roman"/>
        </w:rPr>
        <w:t>. The solid diagonal line indicates perfect agreement. The classical and VQE/VQA results track the diagonal closely, confirming that the fitted circuit reproduces both components consistently in the complex domain. The QAOA parity trend illustrates how discretization and surrogate-based optimization impact pointwise agreement, providing a complementary global diagnostic to the Nyquist/Bode overlays.</w:t>
      </w:r>
    </w:p>
    <w:p w14:paraId="31E70ABE" w14:textId="77777777" w:rsidR="00F12DC3" w:rsidRPr="00EA6544" w:rsidRDefault="00F12DC3" w:rsidP="00F12DC3">
      <w:p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793ECC6" wp14:editId="50EF21EC">
            <wp:extent cx="6120130" cy="2889885"/>
            <wp:effectExtent l="0" t="0" r="1270" b="5715"/>
            <wp:docPr id="17" name="圖片 17" descr="一張含有 文字, 螢幕擷取畫面, 繪圖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圖片 17" descr="一張含有 文字, 螢幕擷取畫面, 繪圖, 行 的圖片&#10;&#10;自動產生的描述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FB49" w14:textId="77777777" w:rsidR="00635133" w:rsidRDefault="00635133"/>
    <w:sectPr w:rsidR="00635133" w:rsidSect="00F12DC3"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DC3"/>
    <w:rsid w:val="00635133"/>
    <w:rsid w:val="00F12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5D78D1"/>
  <w15:chartTrackingRefBased/>
  <w15:docId w15:val="{1F030447-A8F2-4E48-85CF-8117D0093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2DC3"/>
    <w:rPr>
      <w:rFonts w:ascii="新細明體" w:eastAsia="新細明體" w:hAnsi="新細明體" w:cs="新細明體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12DC3"/>
    <w:rPr>
      <w:b/>
      <w:bCs/>
    </w:rPr>
  </w:style>
  <w:style w:type="character" w:customStyle="1" w:styleId="katex-mathml">
    <w:name w:val="katex-mathml"/>
    <w:basedOn w:val="a0"/>
    <w:rsid w:val="00F12D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127</Words>
  <Characters>725</Characters>
  <Application>Microsoft Office Word</Application>
  <DocSecurity>0</DocSecurity>
  <Lines>6</Lines>
  <Paragraphs>1</Paragraphs>
  <ScaleCrop>false</ScaleCrop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吳勝允</dc:creator>
  <cp:keywords/>
  <dc:description/>
  <cp:lastModifiedBy>吳勝允</cp:lastModifiedBy>
  <cp:revision>1</cp:revision>
  <dcterms:created xsi:type="dcterms:W3CDTF">2026-02-28T03:30:00Z</dcterms:created>
  <dcterms:modified xsi:type="dcterms:W3CDTF">2026-02-28T03:30:00Z</dcterms:modified>
</cp:coreProperties>
</file>