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A973A" w14:textId="77777777" w:rsidR="00375FA3" w:rsidRPr="008557DB" w:rsidRDefault="00375FA3" w:rsidP="00375FA3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8557DB">
        <w:rPr>
          <w:rStyle w:val="a3"/>
          <w:rFonts w:ascii="Times New Roman" w:hAnsi="Times New Roman" w:cs="Times New Roman"/>
        </w:rPr>
        <w:t>Figure S</w:t>
      </w:r>
      <w:r>
        <w:rPr>
          <w:rStyle w:val="a3"/>
          <w:rFonts w:ascii="Times New Roman" w:hAnsi="Times New Roman" w:cs="Times New Roman"/>
        </w:rPr>
        <w:t>5</w:t>
      </w:r>
      <w:r w:rsidRPr="008557DB">
        <w:rPr>
          <w:rStyle w:val="a3"/>
          <w:rFonts w:ascii="Times New Roman" w:hAnsi="Times New Roman" w:cs="Times New Roman"/>
        </w:rPr>
        <w:t>| Best-shot QAOA outcome and decoded MXene EIS parameter set (shots = 4096).</w:t>
      </w:r>
      <w:r>
        <w:rPr>
          <w:rFonts w:ascii="Times New Roman" w:hAnsi="Times New Roman" w:cs="Times New Roman"/>
        </w:rPr>
        <w:t xml:space="preserve"> </w:t>
      </w:r>
      <w:r w:rsidRPr="008557DB">
        <w:rPr>
          <w:rFonts w:ascii="Times New Roman" w:hAnsi="Times New Roman" w:cs="Times New Roman"/>
        </w:rPr>
        <w:t xml:space="preserve">Distribution of the </w:t>
      </w:r>
      <w:r w:rsidRPr="002358B6">
        <w:rPr>
          <w:rStyle w:val="a3"/>
          <w:rFonts w:ascii="Times New Roman" w:hAnsi="Times New Roman" w:cs="Times New Roman"/>
          <w:b w:val="0"/>
          <w:bCs w:val="0"/>
        </w:rPr>
        <w:t>top-10 measured bitstrings</w:t>
      </w:r>
      <w:r w:rsidRPr="002358B6">
        <w:rPr>
          <w:rFonts w:ascii="Times New Roman" w:hAnsi="Times New Roman" w:cs="Times New Roman"/>
          <w:b/>
          <w:bCs/>
        </w:rPr>
        <w:t xml:space="preserve"> </w:t>
      </w:r>
      <w:r w:rsidRPr="008557DB">
        <w:rPr>
          <w:rFonts w:ascii="Times New Roman" w:hAnsi="Times New Roman" w:cs="Times New Roman"/>
        </w:rPr>
        <w:t xml:space="preserve">from the final </w:t>
      </w:r>
      <m:oMath>
        <m:r>
          <w:rPr>
            <w:rFonts w:ascii="Cambria Math" w:hAnsi="Cambria Math" w:cs="Times New Roman"/>
          </w:rPr>
          <m:t>p = 1</m:t>
        </m:r>
      </m:oMath>
      <w:r w:rsidRPr="008557DB">
        <w:rPr>
          <w:rFonts w:ascii="Times New Roman" w:hAnsi="Times New Roman" w:cs="Times New Roman"/>
        </w:rPr>
        <w:t xml:space="preserve"> QAOA run at the selected angles</w:t>
      </w:r>
      <w:r w:rsidRPr="00622FA8">
        <w:rPr>
          <w:rFonts w:ascii="Times New Roman" w:hAnsi="Times New Roman" w:cs="Times New Roman"/>
        </w:rPr>
        <w:t xml:space="preserve">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γ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katex-mathml"/>
          <w:rFonts w:ascii="Times New Roman" w:hAnsi="Times New Roman" w:cs="Times New Roman"/>
        </w:rPr>
        <w:t>,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β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katex-mathml"/>
          <w:rFonts w:ascii="Times New Roman" w:hAnsi="Times New Roman" w:cs="Times New Roman"/>
        </w:rPr>
        <w:t>)</w:t>
      </w:r>
      <w:r w:rsidRPr="008557DB">
        <w:rPr>
          <w:rStyle w:val="katex-mathml"/>
          <w:rFonts w:ascii="Times New Roman" w:hAnsi="Times New Roman" w:cs="Times New Roman"/>
        </w:rPr>
        <w:t>=(2.8667, 0.6676)</w:t>
      </w:r>
      <w:r w:rsidRPr="008557DB">
        <w:rPr>
          <w:rFonts w:ascii="Times New Roman" w:hAnsi="Times New Roman" w:cs="Times New Roman"/>
        </w:rPr>
        <w:t xml:space="preserve"> and trust-region width </w:t>
      </w:r>
      <m:oMath>
        <m:r>
          <w:rPr>
            <w:rStyle w:val="katex-mathml"/>
            <w:rFonts w:ascii="Cambria Math" w:hAnsi="Cambria Math" w:cs="Times New Roman"/>
          </w:rPr>
          <m:t>Δ=0.08</m:t>
        </m:r>
      </m:oMath>
      <w:r w:rsidRPr="008557DB">
        <w:rPr>
          <w:rFonts w:ascii="Times New Roman" w:hAnsi="Times New Roman" w:cs="Times New Roman"/>
        </w:rPr>
        <w:t xml:space="preserve">. Bars report the observed counts (out of 4096 shots), and the bottom label highlights the </w:t>
      </w:r>
      <w:r w:rsidRPr="002358B6">
        <w:rPr>
          <w:rStyle w:val="a3"/>
          <w:rFonts w:ascii="Times New Roman" w:hAnsi="Times New Roman" w:cs="Times New Roman"/>
          <w:b w:val="0"/>
          <w:bCs w:val="0"/>
        </w:rPr>
        <w:t>best shot bitstring</w:t>
      </w:r>
      <w:r w:rsidRPr="008557DB">
        <w:rPr>
          <w:rFonts w:ascii="Times New Roman" w:hAnsi="Times New Roman" w:cs="Times New Roman"/>
        </w:rPr>
        <w:t xml:space="preserve"> </w:t>
      </w:r>
      <w:r w:rsidRPr="008557DB">
        <w:rPr>
          <w:rStyle w:val="katex-mathml"/>
          <w:rFonts w:ascii="Times New Roman" w:hAnsi="Times New Roman" w:cs="Times New Roman"/>
        </w:rPr>
        <w:t>(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q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20</m:t>
            </m:r>
          </m:sub>
        </m:sSub>
        <m:r>
          <w:rPr>
            <w:rStyle w:val="katex-mathml"/>
            <w:rFonts w:ascii="Cambria Math" w:hAnsi="Cambria Math" w:cs="Times New Roman"/>
          </w:rPr>
          <m:t>…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q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0</m:t>
            </m:r>
          </m:sub>
        </m:sSub>
      </m:oMath>
      <w:r w:rsidRPr="008557DB">
        <w:rPr>
          <w:rStyle w:val="katex-mathml"/>
          <w:rFonts w:ascii="Times New Roman" w:hAnsi="Times New Roman" w:cs="Times New Roman"/>
        </w:rPr>
        <w:t>)</w:t>
      </w:r>
      <w:r w:rsidRPr="008557DB">
        <w:rPr>
          <w:rFonts w:ascii="Times New Roman" w:hAnsi="Times New Roman" w:cs="Times New Roman"/>
        </w:rPr>
        <w:t xml:space="preserve"> used for parameter decoding. The right-hand summary boxes list the corresponding run metadata (state index, Ising energy of the surrogate Hamiltonian, and the true complex-domain SSE evaluated with the full circuit model) and the </w:t>
      </w:r>
      <w:r w:rsidRPr="002358B6">
        <w:rPr>
          <w:rStyle w:val="a3"/>
          <w:rFonts w:ascii="Times New Roman" w:hAnsi="Times New Roman" w:cs="Times New Roman"/>
          <w:b w:val="0"/>
          <w:bCs w:val="0"/>
        </w:rPr>
        <w:t>decoded parameter vector</w:t>
      </w:r>
      <w:r w:rsidRPr="008557D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8557DB">
        <w:rPr>
          <w:rFonts w:ascii="Times New Roman" w:hAnsi="Times New Roman" w:cs="Times New Roman"/>
        </w:rPr>
        <w:t xml:space="preserve"> obtained by mapping the best-shot bitstring through the 3-bit discretization and bounded decoding rules (Table S1). This figure links the discrete QAOA measurement outcome to the physical circuit parameters used to generate the quantum EIS overlays.</w:t>
      </w:r>
    </w:p>
    <w:p w14:paraId="5478580C" w14:textId="77777777" w:rsidR="00375FA3" w:rsidRPr="0009276E" w:rsidRDefault="00375FA3" w:rsidP="00375FA3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D6A53E" wp14:editId="708E100A">
            <wp:extent cx="6120130" cy="2848303"/>
            <wp:effectExtent l="0" t="0" r="1270" b="0"/>
            <wp:docPr id="23" name="圖片 23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 descr="一張含有 文字, 螢幕擷取畫面, 數字, 軟體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2133" w14:textId="77777777" w:rsidR="00635133" w:rsidRDefault="00635133"/>
    <w:sectPr w:rsidR="00635133" w:rsidSect="00375FA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A3"/>
    <w:rsid w:val="002358B6"/>
    <w:rsid w:val="00375FA3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E8E8B"/>
  <w15:chartTrackingRefBased/>
  <w15:docId w15:val="{A06D1DC9-4888-4B47-B281-5CF23ABC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FA3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375FA3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375FA3"/>
    <w:rPr>
      <w:b/>
      <w:bCs/>
    </w:rPr>
  </w:style>
  <w:style w:type="character" w:customStyle="1" w:styleId="katex-mathml">
    <w:name w:val="katex-mathml"/>
    <w:basedOn w:val="a0"/>
    <w:rsid w:val="00375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3</cp:revision>
  <cp:lastPrinted>2026-02-28T03:32:00Z</cp:lastPrinted>
  <dcterms:created xsi:type="dcterms:W3CDTF">2026-02-28T03:32:00Z</dcterms:created>
  <dcterms:modified xsi:type="dcterms:W3CDTF">2026-02-28T03:32:00Z</dcterms:modified>
</cp:coreProperties>
</file>