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B9DF7" w14:textId="77777777" w:rsidR="005638F2" w:rsidRPr="006B4E68" w:rsidRDefault="005638F2" w:rsidP="005638F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B4E68">
        <w:rPr>
          <w:rStyle w:val="a3"/>
          <w:rFonts w:ascii="Times New Roman" w:hAnsi="Times New Roman" w:cs="Times New Roman"/>
        </w:rPr>
        <w:t>Figure S</w:t>
      </w:r>
      <w:r>
        <w:rPr>
          <w:rStyle w:val="a3"/>
          <w:rFonts w:ascii="Times New Roman" w:hAnsi="Times New Roman" w:cs="Times New Roman"/>
        </w:rPr>
        <w:t>7</w:t>
      </w:r>
      <w:r w:rsidRPr="006B4E68">
        <w:rPr>
          <w:rStyle w:val="a3"/>
          <w:rFonts w:ascii="Times New Roman" w:hAnsi="Times New Roman" w:cs="Times New Roman"/>
        </w:rPr>
        <w:t xml:space="preserve"> | Normalized residual diagnostics: frequency structure, distribution shape, and normality checks.</w:t>
      </w:r>
      <w:r>
        <w:rPr>
          <w:rFonts w:ascii="Times New Roman" w:hAnsi="Times New Roman" w:cs="Times New Roman"/>
        </w:rPr>
        <w:t xml:space="preserve"> </w:t>
      </w:r>
      <w:r w:rsidRPr="006B4E68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)-(</w:t>
      </w:r>
      <w:r w:rsidRPr="006B4E68">
        <w:rPr>
          <w:rFonts w:ascii="Times New Roman" w:hAnsi="Times New Roman" w:cs="Times New Roman"/>
        </w:rPr>
        <w:t xml:space="preserve">b) Frequency-resolved </w:t>
      </w:r>
      <w:r w:rsidRPr="005638F2">
        <w:rPr>
          <w:rStyle w:val="a3"/>
          <w:rFonts w:ascii="Times New Roman" w:hAnsi="Times New Roman" w:cs="Times New Roman"/>
          <w:b w:val="0"/>
          <w:bCs w:val="0"/>
        </w:rPr>
        <w:t>normalized residuals</w:t>
      </w:r>
      <w:r w:rsidRPr="006B4E68">
        <w:rPr>
          <w:rFonts w:ascii="Times New Roman" w:hAnsi="Times New Roman" w:cs="Times New Roman"/>
        </w:rPr>
        <w:t xml:space="preserve"> for the real and imaginary components,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acc>
              <m:accPr>
                <m:chr m:val="̃"/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Style w:val="katex-mathml"/>
                    <w:rFonts w:ascii="Cambria Math" w:hAnsi="Cambria Math" w:cs="Times New Roman"/>
                  </w:rPr>
                  <m:t>r</m:t>
                </m:r>
              </m:e>
            </m:acc>
          </m:e>
          <m:sup>
            <m:r>
              <m:rPr>
                <m:scr m:val="fraktur"/>
              </m:rPr>
              <w:rPr>
                <w:rStyle w:val="katex-mathml"/>
                <w:rFonts w:ascii="Cambria Math" w:hAnsi="Cambria Math" w:cs="Times New Roman"/>
              </w:rPr>
              <m:t>R</m:t>
            </m:r>
          </m:sup>
        </m:sSup>
        <m:d>
          <m:dPr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r>
              <w:rPr>
                <w:rStyle w:val="katex-mathml"/>
                <w:rFonts w:ascii="Cambria Math" w:hAnsi="Cambria Math" w:cs="Times New Roman"/>
              </w:rPr>
              <m:t>ω</m:t>
            </m:r>
          </m:e>
        </m:d>
        <m:r>
          <m:rPr>
            <m:scr m:val="fraktur"/>
          </m:rPr>
          <w:rPr>
            <w:rStyle w:val="katex-mathml"/>
            <w:rFonts w:ascii="Cambria Math" w:hAnsi="Cambria Math" w:cs="Times New Roman"/>
          </w:rPr>
          <m:t>=R</m:t>
        </m:r>
        <m:d>
          <m:dPr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fit</m:t>
                </m:r>
              </m:sub>
            </m:sSub>
            <m:r>
              <w:rPr>
                <w:rStyle w:val="katex-mathml"/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data</m:t>
                </m:r>
              </m:sub>
            </m:sSub>
          </m:e>
        </m:d>
        <m:r>
          <w:rPr>
            <w:rStyle w:val="katex-mathml"/>
            <w:rFonts w:ascii="Cambria Math" w:hAnsi="Cambria Math" w:cs="Times New Roman"/>
          </w:rPr>
          <m:t>/</m:t>
        </m:r>
        <m:d>
          <m:dPr>
            <m:begChr m:val="|"/>
            <m:endChr m:val="|"/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r>
              <w:rPr>
                <w:rStyle w:val="katex-mathml"/>
                <w:rFonts w:ascii="Cambria Math" w:hAnsi="Cambria Math" w:cs="Times New Roman"/>
              </w:rPr>
              <m:t>Z(ω)</m:t>
            </m:r>
          </m:e>
        </m:d>
      </m:oMath>
      <w:r w:rsidRPr="006B4E68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acc>
              <m:accPr>
                <m:chr m:val="̃"/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Style w:val="katex-mathml"/>
                    <w:rFonts w:ascii="Cambria Math" w:hAnsi="Cambria Math" w:cs="Times New Roman"/>
                  </w:rPr>
                  <m:t>r</m:t>
                </m:r>
              </m:e>
            </m:acc>
          </m:e>
          <m:sup>
            <m:r>
              <m:rPr>
                <m:scr m:val="fraktur"/>
              </m:rPr>
              <w:rPr>
                <w:rStyle w:val="katex-mathml"/>
                <w:rFonts w:ascii="Cambria Math" w:hAnsi="Cambria Math" w:cs="Times New Roman"/>
              </w:rPr>
              <m:t>I</m:t>
            </m:r>
          </m:sup>
        </m:sSup>
        <m:d>
          <m:dPr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r>
              <w:rPr>
                <w:rStyle w:val="katex-mathml"/>
                <w:rFonts w:ascii="Cambria Math" w:hAnsi="Cambria Math" w:cs="Times New Roman"/>
              </w:rPr>
              <m:t>ω</m:t>
            </m:r>
          </m:e>
        </m:d>
        <m:r>
          <m:rPr>
            <m:scr m:val="fraktur"/>
          </m:rPr>
          <w:rPr>
            <w:rStyle w:val="katex-mathml"/>
            <w:rFonts w:ascii="Cambria Math" w:hAnsi="Cambria Math" w:cs="Times New Roman"/>
          </w:rPr>
          <m:t>=I</m:t>
        </m:r>
        <m:d>
          <m:dPr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fit</m:t>
                </m:r>
              </m:sub>
            </m:sSub>
            <m:r>
              <w:rPr>
                <w:rStyle w:val="katex-mathml"/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data</m:t>
                </m:r>
              </m:sub>
            </m:sSub>
          </m:e>
        </m:d>
        <m:r>
          <w:rPr>
            <w:rStyle w:val="katex-mathml"/>
            <w:rFonts w:ascii="Cambria Math" w:hAnsi="Cambria Math" w:cs="Times New Roman"/>
          </w:rPr>
          <m:t>/</m:t>
        </m:r>
        <m:d>
          <m:dPr>
            <m:begChr m:val="|"/>
            <m:endChr m:val="|"/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r>
              <w:rPr>
                <w:rStyle w:val="katex-mathml"/>
                <w:rFonts w:ascii="Cambria Math" w:hAnsi="Cambria Math" w:cs="Times New Roman"/>
              </w:rPr>
              <m:t>Z(ω)</m:t>
            </m:r>
          </m:e>
        </m:d>
      </m:oMath>
      <w:r w:rsidRPr="006B4E68">
        <w:rPr>
          <w:rFonts w:ascii="Times New Roman" w:hAnsi="Times New Roman" w:cs="Times New Roman"/>
        </w:rPr>
        <w:t xml:space="preserve">, plotted versus frequency to identify where the model mismatch is concentrated after removing the scale variation of </w:t>
      </w:r>
      <m:oMath>
        <m:d>
          <m:dPr>
            <m:begChr m:val="|"/>
            <m:endChr m:val="|"/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r>
              <w:rPr>
                <w:rStyle w:val="katex-mathml"/>
                <w:rFonts w:ascii="Cambria Math" w:hAnsi="Cambria Math" w:cs="Times New Roman"/>
              </w:rPr>
              <m:t>Z(ω)</m:t>
            </m:r>
          </m:e>
        </m:d>
      </m:oMath>
      <w:r w:rsidRPr="006B4E68">
        <w:rPr>
          <w:rFonts w:ascii="Times New Roman" w:hAnsi="Times New Roman" w:cs="Times New Roman"/>
        </w:rPr>
        <w:t>. (c</w:t>
      </w:r>
      <w:r>
        <w:rPr>
          <w:rFonts w:ascii="Times New Roman" w:hAnsi="Times New Roman" w:cs="Times New Roman"/>
        </w:rPr>
        <w:t>)-(</w:t>
      </w:r>
      <w:r w:rsidRPr="006B4E68">
        <w:rPr>
          <w:rFonts w:ascii="Times New Roman" w:hAnsi="Times New Roman" w:cs="Times New Roman"/>
        </w:rPr>
        <w:t xml:space="preserve">d) Histograms of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acc>
              <m:accPr>
                <m:chr m:val="̃"/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Style w:val="katex-mathml"/>
                    <w:rFonts w:ascii="Cambria Math" w:hAnsi="Cambria Math" w:cs="Times New Roman"/>
                  </w:rPr>
                  <m:t>r</m:t>
                </m:r>
              </m:e>
            </m:acc>
          </m:e>
          <m:sup>
            <m:r>
              <m:rPr>
                <m:scr m:val="fraktur"/>
              </m:rPr>
              <w:rPr>
                <w:rStyle w:val="katex-mathml"/>
                <w:rFonts w:ascii="Cambria Math" w:hAnsi="Cambria Math" w:cs="Times New Roman"/>
              </w:rPr>
              <m:t>R</m:t>
            </m:r>
          </m:sup>
        </m:sSup>
        <m:d>
          <m:dPr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r>
              <w:rPr>
                <w:rStyle w:val="katex-mathml"/>
                <w:rFonts w:ascii="Cambria Math" w:hAnsi="Cambria Math" w:cs="Times New Roman"/>
              </w:rPr>
              <m:t>ω</m:t>
            </m:r>
          </m:e>
        </m:d>
      </m:oMath>
      <w:r w:rsidRPr="006B4E68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acc>
              <m:accPr>
                <m:chr m:val="̃"/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Style w:val="katex-mathml"/>
                    <w:rFonts w:ascii="Cambria Math" w:hAnsi="Cambria Math" w:cs="Times New Roman"/>
                  </w:rPr>
                  <m:t>r</m:t>
                </m:r>
              </m:e>
            </m:acc>
          </m:e>
          <m:sup>
            <m:r>
              <m:rPr>
                <m:scr m:val="fraktur"/>
              </m:rPr>
              <w:rPr>
                <w:rStyle w:val="katex-mathml"/>
                <w:rFonts w:ascii="Cambria Math" w:hAnsi="Cambria Math" w:cs="Times New Roman"/>
              </w:rPr>
              <m:t>I</m:t>
            </m:r>
          </m:sup>
        </m:sSup>
        <m:d>
          <m:dPr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r>
              <w:rPr>
                <w:rStyle w:val="katex-mathml"/>
                <w:rFonts w:ascii="Cambria Math" w:hAnsi="Cambria Math" w:cs="Times New Roman"/>
              </w:rPr>
              <m:t>ω</m:t>
            </m:r>
          </m:e>
        </m:d>
      </m:oMath>
      <w:r w:rsidRPr="006B4E68">
        <w:rPr>
          <w:rFonts w:ascii="Times New Roman" w:hAnsi="Times New Roman" w:cs="Times New Roman"/>
        </w:rPr>
        <w:t xml:space="preserve"> summarizing the overall residual distributions across the full spectrum; asymmetry or heavy tails indicate departures from simple i.i.d. Gaussian error. (e</w:t>
      </w:r>
      <w:r>
        <w:rPr>
          <w:rFonts w:ascii="Times New Roman" w:hAnsi="Times New Roman" w:cs="Times New Roman"/>
        </w:rPr>
        <w:t>)-(</w:t>
      </w:r>
      <w:r w:rsidRPr="006B4E68">
        <w:rPr>
          <w:rFonts w:ascii="Times New Roman" w:hAnsi="Times New Roman" w:cs="Times New Roman"/>
        </w:rPr>
        <w:t>f) Q–Q plots of the normalized residuals against standard normal quantiles (</w:t>
      </w:r>
      <m:oMath>
        <m:r>
          <m:rPr>
            <m:scr m:val="fraktur"/>
          </m:rPr>
          <w:rPr>
            <w:rStyle w:val="katex-mathml"/>
            <w:rFonts w:ascii="Cambria Math" w:hAnsi="Cambria Math" w:cs="Times New Roman"/>
          </w:rPr>
          <m:t>R</m:t>
        </m:r>
        <m:r>
          <w:rPr>
            <w:rStyle w:val="katex-mathml"/>
            <w:rFonts w:ascii="Cambria Math" w:hAnsi="Cambria Math" w:cs="Times New Roman"/>
          </w:rPr>
          <m:t>e</m:t>
        </m:r>
      </m:oMath>
      <w:r w:rsidRPr="006B4E68">
        <w:rPr>
          <w:rFonts w:ascii="Times New Roman" w:hAnsi="Times New Roman" w:cs="Times New Roman"/>
        </w:rPr>
        <w:t xml:space="preserve"> and </w:t>
      </w:r>
      <m:oMath>
        <m:r>
          <m:rPr>
            <m:scr m:val="fraktur"/>
          </m:rPr>
          <w:rPr>
            <w:rStyle w:val="katex-mathml"/>
            <w:rFonts w:ascii="Cambria Math" w:hAnsi="Cambria Math" w:cs="Times New Roman"/>
          </w:rPr>
          <m:t>I</m:t>
        </m:r>
        <m:r>
          <w:rPr>
            <w:rStyle w:val="katex-mathml"/>
            <w:rFonts w:ascii="Cambria Math" w:hAnsi="Cambria Math" w:cs="Times New Roman"/>
          </w:rPr>
          <m:t>m</m:t>
        </m:r>
      </m:oMath>
      <w:r w:rsidRPr="006B4E68">
        <w:rPr>
          <w:rFonts w:ascii="Times New Roman" w:hAnsi="Times New Roman" w:cs="Times New Roman"/>
        </w:rPr>
        <w:t xml:space="preserve"> separately), providing a compact normality diagnostic: near-linear alignment indicates approximately Gaussian residuals, while curvature and tail deviations reflect heteroscedasticity and/or structured model mismatch remaining in specific frequency regimes.</w:t>
      </w:r>
    </w:p>
    <w:p w14:paraId="62A7D0FD" w14:textId="77777777" w:rsidR="005638F2" w:rsidRPr="006B4E68" w:rsidRDefault="005638F2" w:rsidP="005638F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0965F5" wp14:editId="12993F00">
            <wp:extent cx="6120130" cy="3607435"/>
            <wp:effectExtent l="0" t="0" r="1270" b="0"/>
            <wp:docPr id="18" name="圖片 18" descr="一張含有 螢幕擷取畫面, 圖表, 文字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 descr="一張含有 螢幕擷取畫面, 圖表, 文字, 行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6362" w14:textId="77777777" w:rsidR="00635133" w:rsidRDefault="00635133"/>
    <w:sectPr w:rsidR="00635133" w:rsidSect="005638F2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F2"/>
    <w:rsid w:val="005638F2"/>
    <w:rsid w:val="0063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FDE44"/>
  <w15:chartTrackingRefBased/>
  <w15:docId w15:val="{965EAD1C-1CB9-7048-AB8D-EA4E766B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8F2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638F2"/>
    <w:rPr>
      <w:b/>
      <w:bCs/>
    </w:rPr>
  </w:style>
  <w:style w:type="character" w:customStyle="1" w:styleId="katex-mathml">
    <w:name w:val="katex-mathml"/>
    <w:basedOn w:val="a0"/>
    <w:rsid w:val="00563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2026-02-28T03:39:00Z</dcterms:created>
  <dcterms:modified xsi:type="dcterms:W3CDTF">2026-02-28T03:39:00Z</dcterms:modified>
</cp:coreProperties>
</file>