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1BD9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bCs/>
        </w:rPr>
      </w:pPr>
      <w:r w:rsidRPr="00623091">
        <w:rPr>
          <w:rFonts w:ascii="Times New Roman" w:hAnsi="Times New Roman" w:cs="Times New Roman"/>
          <w:b/>
          <w:bCs/>
        </w:rPr>
        <w:t>Note S1 | Equivalent circuit model and impedance derivation for MXene EIS analysis</w:t>
      </w:r>
    </w:p>
    <w:p w14:paraId="0C572F9F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>To interpret the electrochemical impedance response of the MXene electrode, we employed an equivalent circuit that captures (</w:t>
      </w:r>
      <w:proofErr w:type="spellStart"/>
      <w:r w:rsidRPr="00623091">
        <w:rPr>
          <w:rFonts w:ascii="Times New Roman" w:hAnsi="Times New Roman" w:cs="Times New Roman"/>
        </w:rPr>
        <w:t>i</w:t>
      </w:r>
      <w:proofErr w:type="spellEnd"/>
      <w:r w:rsidRPr="00623091">
        <w:rPr>
          <w:rFonts w:ascii="Times New Roman" w:hAnsi="Times New Roman" w:cs="Times New Roman"/>
        </w:rPr>
        <w:t>) ohmic contributions from the cell and current collectors, (ii) inductive artifacts at high frequency, (iii) interfacial charge‐transfer kinetics combined with non-ideal double-layer behavior, and (iv) additional distributed capacitive/pseudocapacitive storage at lower frequencies. The circuit used throughout this work is:</w:t>
      </w:r>
    </w:p>
    <w:p w14:paraId="07CAADCC" w14:textId="77777777" w:rsidR="000D2C10" w:rsidRPr="00623091" w:rsidRDefault="000D2C10" w:rsidP="000D2C10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Z(ω)=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+jωL+(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(S1)</w:t>
      </w:r>
    </w:p>
    <w:p w14:paraId="057A2615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 xml:space="preserve">with the seven fitting parameters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623091">
        <w:rPr>
          <w:rFonts w:ascii="Times New Roman" w:hAnsi="Times New Roman" w:cs="Times New Roman"/>
        </w:rPr>
        <w:t xml:space="preserve">. Here,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623091">
        <w:rPr>
          <w:rFonts w:ascii="Times New Roman" w:hAnsi="Times New Roman" w:cs="Times New Roman"/>
        </w:rPr>
        <w:t xml:space="preserve"> represents the uncompensated series resistance (electrolyte ionic resistance, current collector/contact resistance), and </w:t>
      </w:r>
      <m:oMath>
        <m:r>
          <w:rPr>
            <w:rFonts w:ascii="Cambria Math" w:hAnsi="Cambria Math" w:cs="Times New Roman"/>
          </w:rPr>
          <m:t>L</m:t>
        </m:r>
      </m:oMath>
      <w:r w:rsidRPr="00623091">
        <w:rPr>
          <w:rFonts w:ascii="Times New Roman" w:hAnsi="Times New Roman" w:cs="Times New Roman"/>
        </w:rPr>
        <w:t xml:space="preserve"> account</w:t>
      </w:r>
      <w:r>
        <w:rPr>
          <w:rFonts w:ascii="Times New Roman" w:hAnsi="Times New Roman" w:cs="Times New Roman"/>
        </w:rPr>
        <w:t>s</w:t>
      </w:r>
      <w:r w:rsidRPr="00623091">
        <w:rPr>
          <w:rFonts w:ascii="Times New Roman" w:hAnsi="Times New Roman" w:cs="Times New Roman"/>
        </w:rPr>
        <w:t xml:space="preserve"> for wiring/lead inductance that can dominate the phase response at the highest frequencies. The interfacial charge‐transfer resistance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</m:oMath>
      <w:r w:rsidRPr="00623091">
        <w:rPr>
          <w:rFonts w:ascii="Times New Roman" w:hAnsi="Times New Roman" w:cs="Times New Roman"/>
        </w:rPr>
        <w:t xml:space="preserve"> is modeled in parallel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623091">
        <w:rPr>
          <w:rFonts w:ascii="Times New Roman" w:hAnsi="Times New Roman" w:cs="Times New Roman"/>
        </w:rPr>
        <w:t>, which describes the non-ideal electrical double layer at the MXene/electrolyte interface arising from surface heter</w:t>
      </w:r>
      <w:proofErr w:type="spellStart"/>
      <w:r w:rsidRPr="00623091">
        <w:rPr>
          <w:rFonts w:ascii="Times New Roman" w:hAnsi="Times New Roman" w:cs="Times New Roman"/>
        </w:rPr>
        <w:t>ogeneity</w:t>
      </w:r>
      <w:proofErr w:type="spellEnd"/>
      <w:r w:rsidRPr="00623091">
        <w:rPr>
          <w:rFonts w:ascii="Times New Roman" w:hAnsi="Times New Roman" w:cs="Times New Roman"/>
        </w:rPr>
        <w:t xml:space="preserve">, roughness, and a distribution of relaxation times. Finally,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623091">
        <w:rPr>
          <w:rFonts w:ascii="Times New Roman" w:hAnsi="Times New Roman" w:cs="Times New Roman"/>
        </w:rPr>
        <w:t xml:space="preserve"> is included as an additional constant phase element to capture broader low-frequency dispersive storage and/or pseudocapacitive processes (e.g., termination-mediated surface redox and ion adsorption in a porous/lamellar network), which cannot be represented adequately by a single ideal capacitor.</w:t>
      </w:r>
    </w:p>
    <w:p w14:paraId="3A13A53B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>A constant phase element is defined by:</w:t>
      </w:r>
    </w:p>
    <w:p w14:paraId="1EB6ABB7" w14:textId="77777777" w:rsidR="000D2C10" w:rsidRPr="00623091" w:rsidRDefault="000D2C10" w:rsidP="000D2C10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CPE</m:t>
            </m:r>
          </m:sub>
        </m:sSub>
        <m:r>
          <w:rPr>
            <w:rFonts w:ascii="Cambria Math" w:hAnsi="Cambria Math" w:cs="Times New Roman"/>
          </w:rPr>
          <m:t>(ω)=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Q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jω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α</m:t>
                </m:r>
              </m:sup>
            </m:sSup>
          </m:den>
        </m:f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(S2)</w:t>
      </w:r>
    </w:p>
    <w:p w14:paraId="60E658CE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Q</m:t>
        </m:r>
      </m:oMath>
      <w:r w:rsidRPr="00623091">
        <w:rPr>
          <w:rFonts w:ascii="Times New Roman" w:hAnsi="Times New Roman" w:cs="Times New Roman"/>
        </w:rPr>
        <w:t xml:space="preserve"> is the pseudo-capacitance prefactor and </w:t>
      </w:r>
      <m:oMath>
        <m:r>
          <w:rPr>
            <w:rFonts w:ascii="Cambria Math" w:hAnsi="Cambria Math" w:cs="Times New Roman"/>
          </w:rPr>
          <m:t>0&lt;α≤1</m:t>
        </m:r>
      </m:oMath>
      <w:r w:rsidRPr="00623091">
        <w:rPr>
          <w:rFonts w:ascii="Times New Roman" w:hAnsi="Times New Roman" w:cs="Times New Roman"/>
        </w:rPr>
        <w:t xml:space="preserve"> is the dispersion exponent. For </w:t>
      </w:r>
      <m:oMath>
        <m:r>
          <w:rPr>
            <w:rFonts w:ascii="Cambria Math" w:hAnsi="Cambria Math" w:cs="Times New Roman"/>
          </w:rPr>
          <m:t>α=1</m:t>
        </m:r>
      </m:oMath>
      <w:r w:rsidRPr="00623091">
        <w:rPr>
          <w:rFonts w:ascii="Times New Roman" w:hAnsi="Times New Roman" w:cs="Times New Roman"/>
        </w:rPr>
        <w:t xml:space="preserve">, the element reduces to an ideal capacitor </w:t>
      </w:r>
      <m:oMath>
        <m:r>
          <w:rPr>
            <w:rFonts w:ascii="Cambria Math" w:hAnsi="Cambria Math" w:cs="Times New Roman"/>
          </w:rPr>
          <m:t>C=Q</m:t>
        </m:r>
      </m:oMath>
      <w:r w:rsidRPr="00623091">
        <w:rPr>
          <w:rFonts w:ascii="Times New Roman" w:hAnsi="Times New Roman" w:cs="Times New Roman"/>
        </w:rPr>
        <w:t xml:space="preserve">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=1/(jωC)</m:t>
        </m:r>
      </m:oMath>
      <w:r w:rsidRPr="00623091">
        <w:rPr>
          <w:rFonts w:ascii="Times New Roman" w:hAnsi="Times New Roman" w:cs="Times New Roman"/>
        </w:rPr>
        <w:t xml:space="preserve">. Values of </w:t>
      </w:r>
      <m:oMath>
        <m:r>
          <w:rPr>
            <w:rFonts w:ascii="Cambria Math" w:hAnsi="Cambria Math" w:cs="Times New Roman"/>
          </w:rPr>
          <m:t>α&lt;1</m:t>
        </m:r>
      </m:oMath>
      <w:r w:rsidRPr="00623091">
        <w:rPr>
          <w:rFonts w:ascii="Times New Roman" w:hAnsi="Times New Roman" w:cs="Times New Roman"/>
        </w:rPr>
        <w:t xml:space="preserve"> quantify deviation from ideality; smaller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 xml:space="preserve"> </w:t>
      </w:r>
      <w:r w:rsidRPr="00623091">
        <w:rPr>
          <w:rFonts w:ascii="Times New Roman" w:hAnsi="Times New Roman" w:cs="Times New Roman"/>
        </w:rPr>
        <w:t>indicates stronger heterogeneity and a broader distribution of relaxation times.</w:t>
      </w:r>
    </w:p>
    <w:p w14:paraId="7FE9C20E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 xml:space="preserve">The impedance of the charge‐transfer branch is obtained by combining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</m:oMath>
      <w:r w:rsidRPr="00623091">
        <w:rPr>
          <w:rFonts w:ascii="Times New Roman" w:hAnsi="Times New Roman" w:cs="Times New Roman"/>
        </w:rPr>
        <w:t xml:space="preserve">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623091">
        <w:rPr>
          <w:rFonts w:ascii="Times New Roman" w:hAnsi="Times New Roman" w:cs="Times New Roman"/>
        </w:rPr>
        <w:t xml:space="preserve"> in parallel:</w:t>
      </w:r>
    </w:p>
    <w:p w14:paraId="45C69084" w14:textId="77777777" w:rsidR="000D2C10" w:rsidRPr="00623091" w:rsidRDefault="000D2C10" w:rsidP="000D2C10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ct</m:t>
            </m:r>
            <m:r>
              <w:rPr>
                <w:rFonts w:ascii="Cambria Math" w:hAnsi="Cambria Math" w:cs="Cambria Math"/>
              </w:rPr>
              <m:t>∥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CPE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ct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CPE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ct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jω</m:t>
                        </m:r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(S3)</w:t>
      </w:r>
    </w:p>
    <w:p w14:paraId="6DA2F47D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>The full model thus becomes:</w:t>
      </w:r>
    </w:p>
    <w:p w14:paraId="1F8A45C4" w14:textId="77777777" w:rsidR="000D2C10" w:rsidRDefault="000D2C10" w:rsidP="000D2C10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+jωL+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ct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jω</m:t>
                        </m:r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sup>
                </m:sSup>
              </m:e>
            </m:d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jω</m:t>
                    </m:r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sup>
            </m:sSup>
          </m:den>
        </m:f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(S4)</w:t>
      </w:r>
    </w:p>
    <w:p w14:paraId="16A3287A" w14:textId="77777777" w:rsidR="000D2C10" w:rsidRPr="0062309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 xml:space="preserve">This form provides clear limiting behaviors that connect the fitted parameters to physical frequency regimes. At sufficiently high frequency, </w:t>
      </w:r>
      <m:oMath>
        <m:r>
          <w:rPr>
            <w:rFonts w:ascii="Cambria Math" w:hAnsi="Cambria Math" w:cs="Cambria Math"/>
          </w:rPr>
          <m:t>∣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CPE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sub>
        </m:sSub>
        <m:r>
          <w:rPr>
            <w:rFonts w:ascii="Cambria Math" w:hAnsi="Cambria Math" w:cs="Cambria Math"/>
          </w:rPr>
          <m:t>∣</m:t>
        </m:r>
      </m:oMath>
      <w:r w:rsidRPr="00623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Cambria Math"/>
          </w:rPr>
          <m:t>∣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CPE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sub>
        </m:sSub>
        <m:r>
          <w:rPr>
            <w:rFonts w:ascii="Cambria Math" w:hAnsi="Cambria Math" w:cs="Cambria Math"/>
          </w:rPr>
          <m:t>∣</m:t>
        </m:r>
      </m:oMath>
      <w:r w:rsidRPr="00623091">
        <w:rPr>
          <w:rFonts w:ascii="Times New Roman" w:hAnsi="Times New Roman" w:cs="Times New Roman"/>
        </w:rPr>
        <w:t xml:space="preserve"> decrease, and the response approaches </w:t>
      </w:r>
      <m:oMath>
        <m:r>
          <w:rPr>
            <w:rFonts w:ascii="Cambria Math" w:hAnsi="Cambria Math" w:cs="Times New Roman"/>
          </w:rPr>
          <m:t>Z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+jωL</m:t>
        </m:r>
      </m:oMath>
      <w:r w:rsidRPr="00623091">
        <w:rPr>
          <w:rFonts w:ascii="Times New Roman" w:hAnsi="Times New Roman" w:cs="Times New Roman"/>
        </w:rPr>
        <w:t xml:space="preserve">, producing a near-vertical inductive phase lead if </w:t>
      </w:r>
      <m:oMath>
        <m:r>
          <w:rPr>
            <w:rFonts w:ascii="Cambria Math" w:hAnsi="Cambria Math" w:cs="Times New Roman"/>
          </w:rPr>
          <m:t>L</m:t>
        </m:r>
      </m:oMath>
      <w:r w:rsidRPr="00623091">
        <w:rPr>
          <w:rFonts w:ascii="Times New Roman" w:hAnsi="Times New Roman" w:cs="Times New Roman"/>
        </w:rPr>
        <w:t xml:space="preserve"> is appreciable. In the mid-frequency range where the interfacial branch dominates, the parallel combination yields a depressed semicircle (or arc) in the Nyquist plane; its diameter is governed primarily by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</m:oMath>
      <w:r w:rsidRPr="00623091">
        <w:rPr>
          <w:rFonts w:ascii="Times New Roman" w:hAnsi="Times New Roman" w:cs="Times New Roman"/>
        </w:rPr>
        <w:t>, while the arc depression and constant phase rotation are determined by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623091">
        <w:rPr>
          <w:rFonts w:ascii="Times New Roman" w:hAnsi="Times New Roman" w:cs="Times New Roman"/>
        </w:rPr>
        <w:t>,</w:t>
      </w:r>
      <w:r w:rsidRPr="00B03A11">
        <w:rPr>
          <w:rFonts w:ascii="Cambria Math" w:hAnsi="Cambria Math"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623091">
        <w:rPr>
          <w:rFonts w:ascii="Times New Roman" w:hAnsi="Times New Roman" w:cs="Times New Roman"/>
        </w:rPr>
        <w:t xml:space="preserve">). At lower frequencies,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623091">
        <w:rPr>
          <w:rFonts w:ascii="Times New Roman" w:hAnsi="Times New Roman" w:cs="Times New Roman"/>
        </w:rPr>
        <w:t xml:space="preserve"> contributes a dispersive tail with phase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-α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π/2</m:t>
        </m:r>
      </m:oMath>
      <w:r w:rsidRPr="00623091">
        <w:rPr>
          <w:rFonts w:ascii="Times New Roman" w:hAnsi="Times New Roman" w:cs="Times New Roman"/>
        </w:rPr>
        <w:t>, consistent with distributed capacitive/pseudocapacitive storage.</w:t>
      </w:r>
    </w:p>
    <w:p w14:paraId="0C54939C" w14:textId="77777777" w:rsidR="000D2C10" w:rsidRPr="00623091" w:rsidRDefault="000D2C10" w:rsidP="000D2C10">
      <w:pPr>
        <w:spacing w:before="100" w:beforeAutospacing="1" w:after="100" w:afterAutospacing="1" w:line="360" w:lineRule="auto"/>
        <w:ind w:firstLine="480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>All fitting was performed in the complex domain by minimizing the total squared error between the measured and modeled impedance:</w:t>
      </w:r>
    </w:p>
    <w:p w14:paraId="23AF7F7F" w14:textId="77777777" w:rsidR="000D2C10" w:rsidRPr="00623091" w:rsidRDefault="000D2C10" w:rsidP="000D2C10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SSE=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model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data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(S5)</w:t>
      </w:r>
    </w:p>
    <w:p w14:paraId="1EBAEAFA" w14:textId="77777777" w:rsidR="000D2C10" w:rsidRPr="00940C31" w:rsidRDefault="000D2C10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3091">
        <w:rPr>
          <w:rFonts w:ascii="Times New Roman" w:hAnsi="Times New Roman" w:cs="Times New Roman"/>
        </w:rPr>
        <w:t xml:space="preserve">equivalently summing squared residuals of </w:t>
      </w:r>
      <m:oMath>
        <m:r>
          <m:rPr>
            <m:scr m:val="fraktur"/>
          </m:rPr>
          <w:rPr>
            <w:rFonts w:ascii="Cambria Math" w:hAnsi="Cambria Math" w:cs="Times New Roman"/>
          </w:rPr>
          <m:t>R(</m:t>
        </m:r>
        <m:r>
          <w:rPr>
            <w:rFonts w:ascii="Cambria Math" w:hAnsi="Cambria Math" w:cs="Times New Roman"/>
          </w:rPr>
          <m:t>Z)</m:t>
        </m:r>
      </m:oMath>
      <w:r w:rsidRPr="00623091">
        <w:rPr>
          <w:rFonts w:ascii="Times New Roman" w:hAnsi="Times New Roman" w:cs="Times New Roman"/>
        </w:rPr>
        <w:t xml:space="preserve"> and </w:t>
      </w:r>
      <m:oMath>
        <m:r>
          <m:rPr>
            <m:scr m:val="fraktur"/>
          </m:rPr>
          <w:rPr>
            <w:rFonts w:ascii="Cambria Math" w:hAnsi="Cambria Math" w:cs="Times New Roman"/>
          </w:rPr>
          <m:t>I(</m:t>
        </m:r>
        <m:r>
          <w:rPr>
            <w:rFonts w:ascii="Cambria Math" w:hAnsi="Cambria Math" w:cs="Times New Roman"/>
          </w:rPr>
          <m:t xml:space="preserve">Z) </m:t>
        </m:r>
      </m:oMath>
      <w:r w:rsidRPr="00623091">
        <w:rPr>
          <w:rFonts w:ascii="Times New Roman" w:hAnsi="Times New Roman" w:cs="Times New Roman"/>
        </w:rPr>
        <w:t xml:space="preserve">across all frequencies. This objective ensures that both magnitude and phase information constrain </w:t>
      </w:r>
      <m:oMath>
        <m:r>
          <w:rPr>
            <w:rFonts w:ascii="Cambria Math" w:hAnsi="Cambria Math" w:cs="Times New Roman"/>
          </w:rPr>
          <m:t>θ</m:t>
        </m:r>
      </m:oMath>
      <w:r w:rsidRPr="00623091">
        <w:rPr>
          <w:rFonts w:ascii="Times New Roman" w:hAnsi="Times New Roman" w:cs="Times New Roman"/>
        </w:rPr>
        <w:t xml:space="preserve"> simultaneously and supports direct overlay comparisons in Nyquist and Bode representations.</w:t>
      </w:r>
    </w:p>
    <w:p w14:paraId="1FA9751A" w14:textId="6554EE1F" w:rsidR="00635133" w:rsidRPr="000D2C10" w:rsidRDefault="00635133" w:rsidP="000D2C1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 w:hint="eastAsia"/>
          <w:b/>
          <w:bCs/>
        </w:rPr>
      </w:pPr>
    </w:p>
    <w:sectPr w:rsidR="00635133" w:rsidRPr="000D2C10" w:rsidSect="000D2C1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10"/>
    <w:rsid w:val="000D2C10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A4BB5"/>
  <w15:chartTrackingRefBased/>
  <w15:docId w15:val="{EC9AC843-0335-AD41-A67F-6A7B0109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C10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0D2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2026-02-28T03:26:00Z</dcterms:created>
  <dcterms:modified xsi:type="dcterms:W3CDTF">2026-02-28T03:26:00Z</dcterms:modified>
</cp:coreProperties>
</file>