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AC959" w14:textId="77777777" w:rsidR="00E77EA6" w:rsidRPr="00305729" w:rsidRDefault="00E77EA6" w:rsidP="00E77EA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>T</w:t>
      </w:r>
      <w:r w:rsidRPr="00305729">
        <w:rPr>
          <w:rStyle w:val="a3"/>
          <w:rFonts w:ascii="Times New Roman" w:hAnsi="Times New Roman" w:cs="Times New Roman"/>
        </w:rPr>
        <w:t xml:space="preserve">able </w:t>
      </w:r>
      <w:r>
        <w:rPr>
          <w:rStyle w:val="a3"/>
          <w:rFonts w:ascii="Times New Roman" w:hAnsi="Times New Roman" w:cs="Times New Roman"/>
        </w:rPr>
        <w:t>5</w:t>
      </w:r>
      <w:r w:rsidRPr="00305729">
        <w:rPr>
          <w:rStyle w:val="a3"/>
          <w:rFonts w:ascii="Times New Roman" w:hAnsi="Times New Roman" w:cs="Times New Roman"/>
        </w:rPr>
        <w:t xml:space="preserve"> | Quantum execution settings and decoding workflow for MXene EIS fitting.</w:t>
      </w:r>
      <w:r>
        <w:rPr>
          <w:rFonts w:ascii="Times New Roman" w:hAnsi="Times New Roman" w:cs="Times New Roman"/>
        </w:rPr>
        <w:t xml:space="preserve"> </w:t>
      </w:r>
      <w:r w:rsidRPr="00305729">
        <w:rPr>
          <w:rFonts w:ascii="Times New Roman" w:hAnsi="Times New Roman" w:cs="Times New Roman"/>
        </w:rPr>
        <w:t xml:space="preserve">Operational settings for each branch, including circuit form and depth (HEA-style ansatz with </w:t>
      </w:r>
      <m:oMath>
        <m:r>
          <w:rPr>
            <w:rFonts w:ascii="Cambria Math" w:hAnsi="Cambria Math" w:cs="Times New Roman"/>
          </w:rPr>
          <m:t xml:space="preserve">reps </m:t>
        </m:r>
        <m:r>
          <w:rPr>
            <w:rStyle w:val="katex-mathml"/>
            <w:rFonts w:ascii="Cambria Math" w:hAnsi="Cambria Math" w:cs="Times New Roman"/>
          </w:rPr>
          <m:t>≈3</m:t>
        </m:r>
      </m:oMath>
      <w:r w:rsidRPr="00305729">
        <w:rPr>
          <w:rFonts w:ascii="Times New Roman" w:hAnsi="Times New Roman" w:cs="Times New Roman"/>
        </w:rPr>
        <w:t xml:space="preserve"> for VQE/VQA; QAOA </w:t>
      </w:r>
      <m:oMath>
        <m:r>
          <w:rPr>
            <w:rStyle w:val="katex-mathml"/>
            <w:rFonts w:ascii="Cambria Math" w:hAnsi="Cambria Math" w:cs="Times New Roman"/>
          </w:rPr>
          <m:t>p=1</m:t>
        </m:r>
      </m:oMath>
      <w:r w:rsidRPr="00305729">
        <w:rPr>
          <w:rFonts w:ascii="Times New Roman" w:hAnsi="Times New Roman" w:cs="Times New Roman"/>
        </w:rPr>
        <w:t xml:space="preserve"> for the discrete branch), sampling budget (4096 shots), classical outer-loop strategy (COBYLA for continuous optimization; coarse-to-refined </w:t>
      </w:r>
      <m:oMath>
        <m:r>
          <w:rPr>
            <w:rStyle w:val="katex-mathml"/>
            <w:rFonts w:ascii="Cambria Math" w:hAnsi="Cambria Math" w:cs="Times New Roman"/>
          </w:rPr>
          <m:t>(γ,β)</m:t>
        </m:r>
      </m:oMath>
      <w:r w:rsidRPr="00305729">
        <w:rPr>
          <w:rFonts w:ascii="Times New Roman" w:hAnsi="Times New Roman" w:cs="Times New Roman"/>
        </w:rPr>
        <w:t xml:space="preserve"> grid search with best-shot selection for QAOA), and the shared bounded decoding that maps either continuous outputs </w:t>
      </w:r>
      <m:oMath>
        <m:r>
          <w:rPr>
            <w:rStyle w:val="katex-mathml"/>
            <w:rFonts w:ascii="Cambria Math" w:hAnsi="Cambria Math" w:cs="Times New Roman"/>
          </w:rPr>
          <m:t>u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[0,1]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7</m:t>
            </m:r>
          </m:sup>
        </m:sSup>
      </m:oMath>
      <w:r w:rsidRPr="00305729">
        <w:rPr>
          <w:rFonts w:ascii="Times New Roman" w:hAnsi="Times New Roman" w:cs="Times New Roman"/>
        </w:rPr>
        <w:t xml:space="preserve"> or discrete bitstrings to physically valid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305729">
        <w:rPr>
          <w:rFonts w:ascii="Times New Roman" w:hAnsi="Times New Roman" w:cs="Times New Roman"/>
        </w:rPr>
        <w:t>using the same linear/log bounds.</w:t>
      </w:r>
    </w:p>
    <w:tbl>
      <w:tblPr>
        <w:tblStyle w:val="a4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8"/>
        <w:gridCol w:w="1744"/>
        <w:gridCol w:w="872"/>
        <w:gridCol w:w="1300"/>
        <w:gridCol w:w="1231"/>
        <w:gridCol w:w="1778"/>
        <w:gridCol w:w="1475"/>
      </w:tblGrid>
      <w:tr w:rsidR="00E77EA6" w:rsidRPr="00E83661" w14:paraId="0883123C" w14:textId="77777777" w:rsidTr="004C06FF"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</w:tcPr>
          <w:p w14:paraId="6C5B3CF6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Branch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E9D36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Circuit / depth</w:t>
            </w:r>
          </w:p>
        </w:tc>
        <w:tc>
          <w:tcPr>
            <w:tcW w:w="872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1CD34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Shots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9FA4A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Classical optimizer</w:t>
            </w:r>
          </w:p>
        </w:tc>
        <w:tc>
          <w:tcPr>
            <w:tcW w:w="1231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3D4C8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Angle-search</w:t>
            </w:r>
          </w:p>
        </w:tc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6C5B5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Decoding</w:t>
            </w:r>
          </w:p>
        </w:tc>
        <w:tc>
          <w:tcPr>
            <w:tcW w:w="147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EBB4C7" w14:textId="77777777" w:rsidR="00E77EA6" w:rsidRPr="00E83661" w:rsidRDefault="00E77EA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3661">
              <w:rPr>
                <w:rFonts w:ascii="Times New Roman" w:hAnsi="Times New Roman" w:cs="Times New Roman"/>
                <w:bCs/>
                <w:sz w:val="20"/>
                <w:szCs w:val="20"/>
              </w:rPr>
              <w:t>Notes</w:t>
            </w:r>
          </w:p>
        </w:tc>
      </w:tr>
      <w:tr w:rsidR="00E77EA6" w:rsidRPr="006878C1" w14:paraId="420FD339" w14:textId="77777777" w:rsidTr="004C06FF">
        <w:tc>
          <w:tcPr>
            <w:tcW w:w="1228" w:type="dxa"/>
            <w:tcBorders>
              <w:top w:val="single" w:sz="4" w:space="0" w:color="auto"/>
            </w:tcBorders>
          </w:tcPr>
          <w:p w14:paraId="275F3667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VQE/VQA (continuous)</w:t>
            </w:r>
          </w:p>
        </w:tc>
        <w:tc>
          <w:tcPr>
            <w:tcW w:w="174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B6E683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HEA-style ansatz, reps≈3 (Ry layers + entanglers)</w:t>
            </w:r>
          </w:p>
        </w:tc>
        <w:tc>
          <w:tcPr>
            <w:tcW w:w="872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B5E1F2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A9B6C9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COBYLA (bounded in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[0,1]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sup>
              </m:sSup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D62DDE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778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AA3FE3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u→θ 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via bounds (linear/log). Optional logistic bounded map to enforce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]</m:t>
              </m:r>
            </m:oMath>
          </w:p>
        </w:tc>
        <w:tc>
          <w:tcPr>
            <w:tcW w:w="1475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61E80C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Direct fit against Z(ω); evaluates full circuit model each iteration</w:t>
            </w:r>
          </w:p>
        </w:tc>
      </w:tr>
      <w:tr w:rsidR="00E77EA6" w:rsidRPr="006878C1" w14:paraId="6D88B62F" w14:textId="77777777" w:rsidTr="004C06FF">
        <w:tc>
          <w:tcPr>
            <w:tcW w:w="1228" w:type="dxa"/>
            <w:tcBorders>
              <w:bottom w:val="single" w:sz="4" w:space="0" w:color="auto"/>
            </w:tcBorders>
          </w:tcPr>
          <w:p w14:paraId="74271AC1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QAOA (discrete)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3A5148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QAOA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p=1: H-layer →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(γ)→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(β)→measure</m:t>
              </m:r>
            </m:oMath>
          </w:p>
        </w:tc>
        <w:tc>
          <w:tcPr>
            <w:tcW w:w="872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4CF1AD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E04E5E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Grid search (angles) + best-shot decode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2B41CB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Coarse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5×5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γ–β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 grid + refined 9×9 window (total 106 evals)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87D3D3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bitstring →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s=k/7 → u=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+Δ(2s-1) → θ 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via bounds (linear/log)</w:t>
            </w:r>
          </w:p>
        </w:tc>
        <w:tc>
          <w:tcPr>
            <w:tcW w:w="1475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D61FA4" w14:textId="77777777" w:rsidR="00E77EA6" w:rsidRPr="006878C1" w:rsidRDefault="00E77EA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Ising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 from QUBO surrogate around classical baseline; final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θ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 xml:space="preserve"> from </w:t>
            </w:r>
            <w:proofErr w:type="gramStart"/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best-shot</w:t>
            </w:r>
            <w:proofErr w:type="gramEnd"/>
          </w:p>
        </w:tc>
      </w:tr>
    </w:tbl>
    <w:p w14:paraId="30C22096" w14:textId="77777777" w:rsidR="00E77EA6" w:rsidRPr="00D80FB3" w:rsidRDefault="00E77EA6" w:rsidP="00E77EA6">
      <w:pPr>
        <w:rPr>
          <w:rFonts w:ascii="Times New Roman" w:hAnsi="Times New Roman" w:cs="Times New Roman"/>
          <w:b/>
          <w:bCs/>
        </w:rPr>
      </w:pPr>
    </w:p>
    <w:p w14:paraId="2268E98B" w14:textId="77777777" w:rsidR="00E77EA6" w:rsidRPr="00C66CD8" w:rsidRDefault="00E77EA6" w:rsidP="00E77EA6">
      <w:pPr>
        <w:rPr>
          <w:rFonts w:ascii="Times New Roman" w:hAnsi="Times New Roman" w:cs="Times New Roman"/>
          <w:b/>
          <w:bCs/>
        </w:rPr>
      </w:pPr>
    </w:p>
    <w:p w14:paraId="7957AACC" w14:textId="77777777" w:rsidR="00635133" w:rsidRPr="00E77EA6" w:rsidRDefault="00635133"/>
    <w:sectPr w:rsidR="00635133" w:rsidRPr="00E77EA6" w:rsidSect="00A12F7E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A6"/>
    <w:rsid w:val="00635133"/>
    <w:rsid w:val="00E7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D4030"/>
  <w15:chartTrackingRefBased/>
  <w15:docId w15:val="{60EFDCCC-A245-1D4B-8CA4-FD1C3C23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EA6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7EA6"/>
    <w:rPr>
      <w:b/>
      <w:bCs/>
    </w:rPr>
  </w:style>
  <w:style w:type="character" w:customStyle="1" w:styleId="katex-mathml">
    <w:name w:val="katex-mathml"/>
    <w:basedOn w:val="a0"/>
    <w:rsid w:val="00E77EA6"/>
  </w:style>
  <w:style w:type="table" w:styleId="a4">
    <w:name w:val="Table Grid"/>
    <w:basedOn w:val="a1"/>
    <w:uiPriority w:val="59"/>
    <w:rsid w:val="00E77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2026-02-28T03:58:00Z</dcterms:created>
  <dcterms:modified xsi:type="dcterms:W3CDTF">2026-02-28T03:59:00Z</dcterms:modified>
</cp:coreProperties>
</file>