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7B7B3" w14:textId="77777777" w:rsidR="000C642F" w:rsidRDefault="000C642F" w:rsidP="000C642F">
      <w:pPr>
        <w:spacing w:before="100" w:beforeAutospacing="1" w:after="100" w:afterAutospacing="1" w:line="360" w:lineRule="auto"/>
        <w:jc w:val="both"/>
        <w:rPr>
          <w:rFonts w:ascii="Times New Roman" w:hAnsi="Times New Roman" w:cs="Times New Roman"/>
        </w:rPr>
      </w:pPr>
      <w:r w:rsidRPr="00E45300">
        <w:rPr>
          <w:rStyle w:val="a3"/>
          <w:rFonts w:ascii="Times New Roman" w:hAnsi="Times New Roman" w:cs="Times New Roman"/>
        </w:rPr>
        <w:t>Figure 7 | Manifold view of parameter degeneracy shared across solvers.</w:t>
      </w:r>
      <w:r>
        <w:rPr>
          <w:rFonts w:ascii="Times New Roman" w:hAnsi="Times New Roman" w:cs="Times New Roman"/>
        </w:rPr>
        <w:t xml:space="preserve"> </w:t>
      </w:r>
      <w:r w:rsidRPr="00E45300">
        <w:rPr>
          <w:rFonts w:ascii="Times New Roman" w:hAnsi="Times New Roman" w:cs="Times New Roman"/>
        </w:rPr>
        <w:t>(a</w:t>
      </w:r>
      <w:r>
        <w:rPr>
          <w:rFonts w:ascii="Times New Roman" w:hAnsi="Times New Roman" w:cs="Times New Roman"/>
        </w:rPr>
        <w:t>)-(</w:t>
      </w:r>
      <w:r w:rsidRPr="00E45300">
        <w:rPr>
          <w:rFonts w:ascii="Times New Roman" w:hAnsi="Times New Roman" w:cs="Times New Roman"/>
        </w:rPr>
        <w:t xml:space="preserve">b) Principal-component projections of the fitted parameter vectors </w:t>
      </w:r>
      <m:oMath>
        <m:r>
          <w:rPr>
            <w:rFonts w:ascii="Cambria Math" w:hAnsi="Cambria Math" w:cs="Times New Roman"/>
          </w:rPr>
          <m:t>θ={</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2</m:t>
            </m:r>
          </m:sub>
        </m:sSub>
        <m:r>
          <w:rPr>
            <w:rFonts w:ascii="Cambria Math" w:hAnsi="Cambria Math" w:cs="Times New Roman"/>
          </w:rPr>
          <m:t>}</m:t>
        </m:r>
      </m:oMath>
      <w:r w:rsidRPr="00E45300">
        <w:rPr>
          <w:rFonts w:ascii="Times New Roman" w:hAnsi="Times New Roman" w:cs="Times New Roman"/>
        </w:rPr>
        <w:t xml:space="preserve"> onto low-dimensional subspaces (PC1–PC2 and PC1–PC3), comparing the continuous VQE/VQA solutions (points), discrete QAOA solutions (triangles), the classical baseline (×), and noisy refits at 2% complex noise (squares). The clustering and overlap illustrate that distinct optimization strategies converge to closely related regions in parameter space rather than isolated, solver-specific optima. (c) Explained variance of the leading principal components, highlighting that a small number of modes captures a substantial fraction of the variability in refit solutions, consistent with an underlying low-dimensional degeneracy structure. (d</w:t>
      </w:r>
      <w:r>
        <w:rPr>
          <w:rFonts w:ascii="Times New Roman" w:hAnsi="Times New Roman" w:cs="Times New Roman"/>
        </w:rPr>
        <w:t>)-(</w:t>
      </w:r>
      <w:r w:rsidRPr="00E45300">
        <w:rPr>
          <w:rFonts w:ascii="Times New Roman" w:hAnsi="Times New Roman" w:cs="Times New Roman"/>
        </w:rPr>
        <w:t>e) Continuous-solver density contours (kernel density estimate) overlaid on the PCA scatter, showing the dominant “solution manifold” sampled by the continuous branch and demonstrating that the discrete QAOA candidates and noisy refits fall on the same manifold neighborhood anchored by the classical solution. Together, these projections provide geometric evidence that the apparent multi-solution behavior in MXene EIS fitting is governed by a shared correlated manifold rather than inconsistent solver behavior.</w:t>
      </w:r>
    </w:p>
    <w:p w14:paraId="0F5F2386" w14:textId="77777777" w:rsidR="000C642F" w:rsidRPr="00E45300" w:rsidRDefault="000C642F" w:rsidP="000C642F">
      <w:pPr>
        <w:spacing w:before="100" w:beforeAutospacing="1" w:after="100" w:afterAutospacing="1"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FE288D2" wp14:editId="40A7C285">
            <wp:extent cx="6120130" cy="4207510"/>
            <wp:effectExtent l="0" t="0" r="1270" b="0"/>
            <wp:docPr id="12" name="圖片 12" descr="一張含有 圖表, 螢幕擷取畫面, 文字,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descr="一張含有 圖表, 螢幕擷取畫面, 文字, 繪圖 的圖片&#10;&#10;自動產生的描述"/>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20130" cy="4207510"/>
                    </a:xfrm>
                    <a:prstGeom prst="rect">
                      <a:avLst/>
                    </a:prstGeom>
                  </pic:spPr>
                </pic:pic>
              </a:graphicData>
            </a:graphic>
          </wp:inline>
        </w:drawing>
      </w:r>
    </w:p>
    <w:p w14:paraId="1C6BC276" w14:textId="77777777" w:rsidR="00635133" w:rsidRDefault="00635133"/>
    <w:sectPr w:rsidR="00635133" w:rsidSect="000C642F">
      <w:pgSz w:w="11906" w:h="16838"/>
      <w:pgMar w:top="1134" w:right="1134" w:bottom="1134"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proofState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42F"/>
    <w:rsid w:val="000C642F"/>
    <w:rsid w:val="006351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690161B"/>
  <w15:chartTrackingRefBased/>
  <w15:docId w15:val="{08E134AE-47AC-5A46-BC3C-C4B7B090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642F"/>
    <w:rPr>
      <w:rFonts w:ascii="新細明體" w:eastAsia="新細明體" w:hAnsi="新細明體" w:cs="新細明體"/>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C64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吳勝允</dc:creator>
  <cp:keywords/>
  <dc:description/>
  <cp:lastModifiedBy>吳勝允</cp:lastModifiedBy>
  <cp:revision>1</cp:revision>
  <dcterms:created xsi:type="dcterms:W3CDTF">2026-02-28T03:55:00Z</dcterms:created>
  <dcterms:modified xsi:type="dcterms:W3CDTF">2026-02-28T03:55:00Z</dcterms:modified>
</cp:coreProperties>
</file>