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F8799D" w14:textId="77777777" w:rsidR="006C0553" w:rsidRPr="0062197D" w:rsidRDefault="006C0553" w:rsidP="006C0553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62197D">
        <w:rPr>
          <w:rStyle w:val="a3"/>
          <w:rFonts w:ascii="Times New Roman" w:hAnsi="Times New Roman" w:cs="Times New Roman"/>
        </w:rPr>
        <w:t>Figure S</w:t>
      </w:r>
      <w:r>
        <w:rPr>
          <w:rStyle w:val="a3"/>
          <w:rFonts w:ascii="Times New Roman" w:hAnsi="Times New Roman" w:cs="Times New Roman"/>
        </w:rPr>
        <w:t>4</w:t>
      </w:r>
      <w:r w:rsidRPr="0062197D">
        <w:rPr>
          <w:rStyle w:val="a3"/>
          <w:rFonts w:ascii="Times New Roman" w:hAnsi="Times New Roman" w:cs="Times New Roman"/>
        </w:rPr>
        <w:t xml:space="preserve"> | Component-resolved Bode decomposition of the MXene equivalent-circuit response.</w:t>
      </w:r>
      <w:r>
        <w:rPr>
          <w:rFonts w:ascii="Times New Roman" w:hAnsi="Times New Roman" w:cs="Times New Roman"/>
        </w:rPr>
        <w:t xml:space="preserve"> </w:t>
      </w:r>
      <w:r w:rsidRPr="0062197D">
        <w:rPr>
          <w:rFonts w:ascii="Times New Roman" w:hAnsi="Times New Roman" w:cs="Times New Roman"/>
        </w:rPr>
        <w:t xml:space="preserve">(a) Bode magnitude </w:t>
      </w:r>
      <m:oMath>
        <m:d>
          <m:dPr>
            <m:begChr m:val="|"/>
            <m:endChr m:val="|"/>
            <m:ctrlPr>
              <w:rPr>
                <w:rStyle w:val="katex-mathml"/>
                <w:rFonts w:ascii="Cambria Math" w:hAnsi="Cambria Math" w:cs="Times New Roman"/>
                <w:i/>
              </w:rPr>
            </m:ctrlPr>
          </m:dPr>
          <m:e>
            <m:r>
              <w:rPr>
                <w:rStyle w:val="katex-mathml"/>
                <w:rFonts w:ascii="Cambria Math" w:hAnsi="Cambria Math" w:cs="Times New Roman"/>
              </w:rPr>
              <m:t>Z(ω)</m:t>
            </m:r>
          </m:e>
        </m:d>
      </m:oMath>
      <w:r w:rsidRPr="0062197D">
        <w:rPr>
          <w:rFonts w:ascii="Times New Roman" w:hAnsi="Times New Roman" w:cs="Times New Roman"/>
        </w:rPr>
        <w:t xml:space="preserve"> and (b) Bode phase for the measured impedance (symbols) and the total fitted response (solid line), together with the</w:t>
      </w:r>
      <w:r w:rsidRPr="00FB12D5">
        <w:rPr>
          <w:rFonts w:ascii="Times New Roman" w:hAnsi="Times New Roman" w:cs="Times New Roman"/>
        </w:rPr>
        <w:t xml:space="preserve"> </w:t>
      </w:r>
      <w:r w:rsidRPr="00FB12D5">
        <w:rPr>
          <w:rStyle w:val="a3"/>
          <w:rFonts w:ascii="Times New Roman" w:hAnsi="Times New Roman" w:cs="Times New Roman"/>
          <w:b w:val="0"/>
          <w:bCs w:val="0"/>
        </w:rPr>
        <w:t>individual circuit contributions</w:t>
      </w:r>
      <w:r w:rsidRPr="0062197D">
        <w:rPr>
          <w:rFonts w:ascii="Times New Roman" w:hAnsi="Times New Roman" w:cs="Times New Roman"/>
        </w:rPr>
        <w:t xml:space="preserve"> decomposed into </w:t>
      </w:r>
      <m:oMath>
        <m:sSub>
          <m:sSubPr>
            <m:ctrlPr>
              <w:rPr>
                <w:rStyle w:val="katex-mathml"/>
                <w:rFonts w:ascii="Cambria Math" w:hAnsi="Cambria Math" w:cs="Times New Roman"/>
                <w:i/>
              </w:rPr>
            </m:ctrlPr>
          </m:sSubPr>
          <m:e>
            <m:r>
              <w:rPr>
                <w:rStyle w:val="katex-mathml"/>
                <w:rFonts w:ascii="Cambria Math" w:hAnsi="Cambria Math" w:cs="Times New Roman"/>
              </w:rPr>
              <m:t>R</m:t>
            </m:r>
          </m:e>
          <m:sub>
            <m:r>
              <w:rPr>
                <w:rStyle w:val="katex-mathml"/>
                <w:rFonts w:ascii="Cambria Math" w:hAnsi="Cambria Math" w:cs="Times New Roman"/>
              </w:rPr>
              <m:t>s</m:t>
            </m:r>
          </m:sub>
        </m:sSub>
      </m:oMath>
      <w:r w:rsidRPr="0062197D">
        <w:rPr>
          <w:rFonts w:ascii="Times New Roman" w:hAnsi="Times New Roman" w:cs="Times New Roman"/>
        </w:rPr>
        <w:t xml:space="preserve"> (series resistance), </w:t>
      </w:r>
      <m:oMath>
        <m:r>
          <w:rPr>
            <w:rStyle w:val="katex-mathml"/>
            <w:rFonts w:ascii="Cambria Math" w:hAnsi="Cambria Math" w:cs="Times New Roman"/>
          </w:rPr>
          <m:t>jωL</m:t>
        </m:r>
      </m:oMath>
      <w:r w:rsidRPr="0062197D">
        <w:rPr>
          <w:rFonts w:ascii="Times New Roman" w:hAnsi="Times New Roman" w:cs="Times New Roman"/>
        </w:rPr>
        <w:t xml:space="preserve"> (lead inductance), the interfacial branch </w:t>
      </w:r>
      <m:oMath>
        <m:r>
          <w:rPr>
            <w:rStyle w:val="katex-mathml"/>
            <w:rFonts w:ascii="Cambria Math" w:hAnsi="Cambria Math" w:cs="Times New Roman"/>
          </w:rPr>
          <m:t>(</m:t>
        </m:r>
        <m:sSub>
          <m:sSubPr>
            <m:ctrlPr>
              <w:rPr>
                <w:rStyle w:val="katex-mathml"/>
                <w:rFonts w:ascii="Cambria Math" w:hAnsi="Cambria Math" w:cs="Times New Roman"/>
                <w:i/>
              </w:rPr>
            </m:ctrlPr>
          </m:sSubPr>
          <m:e>
            <m:r>
              <w:rPr>
                <w:rStyle w:val="katex-mathml"/>
                <w:rFonts w:ascii="Cambria Math" w:hAnsi="Cambria Math" w:cs="Times New Roman"/>
              </w:rPr>
              <m:t>R</m:t>
            </m:r>
          </m:e>
          <m:sub>
            <m:r>
              <w:rPr>
                <w:rStyle w:val="katex-mathml"/>
                <w:rFonts w:ascii="Cambria Math" w:hAnsi="Cambria Math" w:cs="Times New Roman"/>
              </w:rPr>
              <m:t>ct</m:t>
            </m:r>
          </m:sub>
        </m:sSub>
        <m:r>
          <w:rPr>
            <w:rStyle w:val="katex-mathml"/>
            <w:rFonts w:ascii="Cambria Math" w:hAnsi="Cambria Math" w:cs="Cambria Math"/>
          </w:rPr>
          <m:t>∥</m:t>
        </m:r>
        <m:sSub>
          <m:sSubPr>
            <m:ctrlPr>
              <w:rPr>
                <w:rStyle w:val="katex-mathml"/>
                <w:rFonts w:ascii="Cambria Math" w:hAnsi="Cambria Math" w:cs="Times New Roman"/>
                <w:i/>
              </w:rPr>
            </m:ctrlPr>
          </m:sSubPr>
          <m:e>
            <m:r>
              <w:rPr>
                <w:rStyle w:val="katex-mathml"/>
                <w:rFonts w:ascii="Cambria Math" w:hAnsi="Cambria Math" w:cs="Times New Roman"/>
              </w:rPr>
              <m:t>CPE</m:t>
            </m:r>
          </m:e>
          <m:sub>
            <m:r>
              <w:rPr>
                <w:rStyle w:val="katex-mathml"/>
                <w:rFonts w:ascii="Cambria Math" w:hAnsi="Cambria Math" w:cs="Times New Roman"/>
              </w:rPr>
              <m:t>1</m:t>
            </m:r>
          </m:sub>
        </m:sSub>
        <m:r>
          <w:rPr>
            <w:rStyle w:val="katex-mathml"/>
            <w:rFonts w:ascii="Cambria Math" w:hAnsi="Cambria Math" w:cs="Times New Roman"/>
          </w:rPr>
          <m:t>)</m:t>
        </m:r>
      </m:oMath>
      <w:r w:rsidRPr="0062197D">
        <w:rPr>
          <w:rFonts w:ascii="Times New Roman" w:hAnsi="Times New Roman" w:cs="Times New Roman"/>
        </w:rPr>
        <w:t xml:space="preserve">, and </w:t>
      </w:r>
      <m:oMath>
        <m:sSub>
          <m:sSubPr>
            <m:ctrlPr>
              <w:rPr>
                <w:rStyle w:val="katex-mathml"/>
                <w:rFonts w:ascii="Cambria Math" w:hAnsi="Cambria Math" w:cs="Times New Roman"/>
                <w:i/>
              </w:rPr>
            </m:ctrlPr>
          </m:sSubPr>
          <m:e>
            <m:r>
              <w:rPr>
                <w:rStyle w:val="katex-mathml"/>
                <w:rFonts w:ascii="Cambria Math" w:hAnsi="Cambria Math" w:cs="Times New Roman"/>
              </w:rPr>
              <m:t>CPE</m:t>
            </m:r>
          </m:e>
          <m:sub>
            <m:r>
              <w:rPr>
                <w:rStyle w:val="katex-mathml"/>
                <w:rFonts w:ascii="Cambria Math" w:hAnsi="Cambria Math" w:cs="Times New Roman"/>
              </w:rPr>
              <m:t>2</m:t>
            </m:r>
          </m:sub>
        </m:sSub>
      </m:oMath>
      <w:r w:rsidRPr="0062197D">
        <w:rPr>
          <w:rFonts w:ascii="Times New Roman" w:hAnsi="Times New Roman" w:cs="Times New Roman"/>
        </w:rPr>
        <w:t xml:space="preserve">. This decomposition illustrates how different physical elements dominate distinct frequency regimes: </w:t>
      </w:r>
      <m:oMath>
        <m:sSub>
          <m:sSubPr>
            <m:ctrlPr>
              <w:rPr>
                <w:rStyle w:val="katex-mathml"/>
                <w:rFonts w:ascii="Cambria Math" w:hAnsi="Cambria Math" w:cs="Times New Roman"/>
                <w:i/>
              </w:rPr>
            </m:ctrlPr>
          </m:sSubPr>
          <m:e>
            <m:r>
              <w:rPr>
                <w:rStyle w:val="katex-mathml"/>
                <w:rFonts w:ascii="Cambria Math" w:hAnsi="Cambria Math" w:cs="Times New Roman"/>
              </w:rPr>
              <m:t>R</m:t>
            </m:r>
          </m:e>
          <m:sub>
            <m:r>
              <w:rPr>
                <w:rStyle w:val="katex-mathml"/>
                <w:rFonts w:ascii="Cambria Math" w:hAnsi="Cambria Math" w:cs="Times New Roman"/>
              </w:rPr>
              <m:t>s</m:t>
            </m:r>
          </m:sub>
        </m:sSub>
      </m:oMath>
      <w:r w:rsidRPr="0062197D">
        <w:rPr>
          <w:rFonts w:ascii="Times New Roman" w:hAnsi="Times New Roman" w:cs="Times New Roman"/>
        </w:rPr>
        <w:t xml:space="preserve"> sets the high-frequency real-axis offset, </w:t>
      </w:r>
      <m:oMath>
        <m:r>
          <w:rPr>
            <w:rStyle w:val="katex-mathml"/>
            <w:rFonts w:ascii="Cambria Math" w:hAnsi="Cambria Math" w:cs="Times New Roman"/>
          </w:rPr>
          <m:t>jωL</m:t>
        </m:r>
      </m:oMath>
      <w:r w:rsidRPr="0062197D">
        <w:rPr>
          <w:rFonts w:ascii="Times New Roman" w:hAnsi="Times New Roman" w:cs="Times New Roman"/>
        </w:rPr>
        <w:t xml:space="preserve"> produces the high-frequency inductive phase lead, </w:t>
      </w:r>
      <m:oMath>
        <m:r>
          <w:rPr>
            <w:rStyle w:val="katex-mathml"/>
            <w:rFonts w:ascii="Cambria Math" w:hAnsi="Cambria Math" w:cs="Times New Roman"/>
          </w:rPr>
          <m:t>(</m:t>
        </m:r>
        <m:sSub>
          <m:sSubPr>
            <m:ctrlPr>
              <w:rPr>
                <w:rStyle w:val="katex-mathml"/>
                <w:rFonts w:ascii="Cambria Math" w:hAnsi="Cambria Math" w:cs="Times New Roman"/>
                <w:i/>
              </w:rPr>
            </m:ctrlPr>
          </m:sSubPr>
          <m:e>
            <m:r>
              <w:rPr>
                <w:rStyle w:val="katex-mathml"/>
                <w:rFonts w:ascii="Cambria Math" w:hAnsi="Cambria Math" w:cs="Times New Roman"/>
              </w:rPr>
              <m:t>R</m:t>
            </m:r>
          </m:e>
          <m:sub>
            <m:r>
              <w:rPr>
                <w:rStyle w:val="katex-mathml"/>
                <w:rFonts w:ascii="Cambria Math" w:hAnsi="Cambria Math" w:cs="Times New Roman"/>
              </w:rPr>
              <m:t>ct</m:t>
            </m:r>
          </m:sub>
        </m:sSub>
        <m:r>
          <w:rPr>
            <w:rStyle w:val="katex-mathml"/>
            <w:rFonts w:ascii="Cambria Math" w:hAnsi="Cambria Math" w:cs="Cambria Math"/>
          </w:rPr>
          <m:t>∥</m:t>
        </m:r>
        <m:sSub>
          <m:sSubPr>
            <m:ctrlPr>
              <w:rPr>
                <w:rStyle w:val="katex-mathml"/>
                <w:rFonts w:ascii="Cambria Math" w:hAnsi="Cambria Math" w:cs="Times New Roman"/>
                <w:i/>
              </w:rPr>
            </m:ctrlPr>
          </m:sSubPr>
          <m:e>
            <m:r>
              <w:rPr>
                <w:rStyle w:val="katex-mathml"/>
                <w:rFonts w:ascii="Cambria Math" w:hAnsi="Cambria Math" w:cs="Times New Roman"/>
              </w:rPr>
              <m:t>CPE</m:t>
            </m:r>
          </m:e>
          <m:sub>
            <m:r>
              <w:rPr>
                <w:rStyle w:val="katex-mathml"/>
                <w:rFonts w:ascii="Cambria Math" w:hAnsi="Cambria Math" w:cs="Times New Roman"/>
              </w:rPr>
              <m:t>1</m:t>
            </m:r>
          </m:sub>
        </m:sSub>
        <m:r>
          <w:rPr>
            <w:rStyle w:val="katex-mathml"/>
            <w:rFonts w:ascii="Cambria Math" w:hAnsi="Cambria Math" w:cs="Times New Roman"/>
          </w:rPr>
          <m:t>)</m:t>
        </m:r>
      </m:oMath>
      <w:r w:rsidRPr="0062197D">
        <w:rPr>
          <w:rFonts w:ascii="Times New Roman" w:hAnsi="Times New Roman" w:cs="Times New Roman"/>
        </w:rPr>
        <w:t xml:space="preserve"> governs the mid-f</w:t>
      </w:r>
      <w:proofErr w:type="spellStart"/>
      <w:r w:rsidRPr="0062197D">
        <w:rPr>
          <w:rFonts w:ascii="Times New Roman" w:hAnsi="Times New Roman" w:cs="Times New Roman"/>
        </w:rPr>
        <w:t>requency</w:t>
      </w:r>
      <w:proofErr w:type="spellEnd"/>
      <w:r w:rsidRPr="0062197D">
        <w:rPr>
          <w:rFonts w:ascii="Times New Roman" w:hAnsi="Times New Roman" w:cs="Times New Roman"/>
        </w:rPr>
        <w:t xml:space="preserve"> dispersive arc associated with non-ideal interfacial charge transfer/double-layer behavior, and </w:t>
      </w:r>
      <m:oMath>
        <m:sSub>
          <m:sSubPr>
            <m:ctrlPr>
              <w:rPr>
                <w:rStyle w:val="katex-mathml"/>
                <w:rFonts w:ascii="Cambria Math" w:hAnsi="Cambria Math" w:cs="Times New Roman"/>
                <w:i/>
              </w:rPr>
            </m:ctrlPr>
          </m:sSubPr>
          <m:e>
            <m:r>
              <w:rPr>
                <w:rStyle w:val="katex-mathml"/>
                <w:rFonts w:ascii="Cambria Math" w:hAnsi="Cambria Math" w:cs="Times New Roman"/>
              </w:rPr>
              <m:t>CPE</m:t>
            </m:r>
          </m:e>
          <m:sub>
            <m:r>
              <w:rPr>
                <w:rStyle w:val="katex-mathml"/>
                <w:rFonts w:ascii="Cambria Math" w:hAnsi="Cambria Math" w:cs="Times New Roman"/>
              </w:rPr>
              <m:t>2</m:t>
            </m:r>
          </m:sub>
        </m:sSub>
      </m:oMath>
      <w:r w:rsidRPr="0062197D">
        <w:rPr>
          <w:rFonts w:ascii="Times New Roman" w:hAnsi="Times New Roman" w:cs="Times New Roman"/>
        </w:rPr>
        <w:t xml:space="preserve"> captures the low-frequency distributed capacitive/pseudocapacitive response. The panel-wise breakdown provides an interpretable link between the fitted parameters and the observed magnitude/phase evolution across the full measurement window.</w:t>
      </w:r>
    </w:p>
    <w:p w14:paraId="385E593F" w14:textId="77777777" w:rsidR="006C0553" w:rsidRPr="0009276E" w:rsidRDefault="006C0553" w:rsidP="006C0553">
      <w:pPr>
        <w:spacing w:before="100" w:beforeAutospacing="1" w:after="100" w:afterAutospacing="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noProof/>
        </w:rPr>
        <w:drawing>
          <wp:inline distT="0" distB="0" distL="0" distR="0" wp14:anchorId="16929E3B" wp14:editId="11CCF6D5">
            <wp:extent cx="6120130" cy="2486025"/>
            <wp:effectExtent l="0" t="0" r="1270" b="3175"/>
            <wp:docPr id="19" name="圖片 19" descr="一張含有 文字, 螢幕擷取畫面, 繪圖, 行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圖片 19" descr="一張含有 文字, 螢幕擷取畫面, 繪圖, 行 的圖片&#10;&#10;自動產生的描述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C7CF5" w14:textId="77777777" w:rsidR="00635133" w:rsidRDefault="00635133"/>
    <w:sectPr w:rsidR="00635133" w:rsidSect="006C0553"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553"/>
    <w:rsid w:val="00635133"/>
    <w:rsid w:val="006C0553"/>
    <w:rsid w:val="00FB1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B9E276"/>
  <w15:chartTrackingRefBased/>
  <w15:docId w15:val="{C6F35D0E-6833-E14A-B845-FE06ABF94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0553"/>
    <w:rPr>
      <w:rFonts w:ascii="新細明體" w:eastAsia="新細明體" w:hAnsi="新細明體" w:cs="新細明體"/>
      <w:kern w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6C0553"/>
    <w:rPr>
      <w:b/>
      <w:bCs/>
    </w:rPr>
  </w:style>
  <w:style w:type="character" w:customStyle="1" w:styleId="katex-mathml">
    <w:name w:val="katex-mathml"/>
    <w:basedOn w:val="a0"/>
    <w:rsid w:val="006C05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151</Words>
  <Characters>862</Characters>
  <Application>Microsoft Office Word</Application>
  <DocSecurity>0</DocSecurity>
  <Lines>7</Lines>
  <Paragraphs>2</Paragraphs>
  <ScaleCrop>false</ScaleCrop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吳勝允</dc:creator>
  <cp:keywords/>
  <dc:description/>
  <cp:lastModifiedBy>吳勝允</cp:lastModifiedBy>
  <cp:revision>3</cp:revision>
  <cp:lastPrinted>2026-02-28T03:31:00Z</cp:lastPrinted>
  <dcterms:created xsi:type="dcterms:W3CDTF">2026-02-28T03:31:00Z</dcterms:created>
  <dcterms:modified xsi:type="dcterms:W3CDTF">2026-02-28T03:32:00Z</dcterms:modified>
</cp:coreProperties>
</file>