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F778" w14:textId="77777777" w:rsidR="00532AD4" w:rsidRPr="00D91FB5" w:rsidRDefault="00532AD4" w:rsidP="00532AD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D91FB5">
        <w:rPr>
          <w:rStyle w:val="a3"/>
          <w:rFonts w:ascii="Times New Roman" w:hAnsi="Times New Roman" w:cs="Times New Roman"/>
        </w:rPr>
        <w:t xml:space="preserve">Table </w:t>
      </w:r>
      <w:r>
        <w:rPr>
          <w:rStyle w:val="a3"/>
          <w:rFonts w:ascii="Times New Roman" w:hAnsi="Times New Roman" w:cs="Times New Roman"/>
        </w:rPr>
        <w:t>4</w:t>
      </w:r>
      <w:r w:rsidRPr="00D91FB5">
        <w:rPr>
          <w:rStyle w:val="a3"/>
          <w:rFonts w:ascii="Times New Roman" w:hAnsi="Times New Roman" w:cs="Times New Roman"/>
        </w:rPr>
        <w:t xml:space="preserve"> | Computational cost and runtime (practicality) for MXene EIS fitting.</w:t>
      </w:r>
      <w:r w:rsidRPr="00D91FB5">
        <w:rPr>
          <w:rFonts w:ascii="Times New Roman" w:hAnsi="Times New Roman" w:cs="Times New Roman"/>
        </w:rPr>
        <w:t xml:space="preserve"> Benchmark comparison of the three inference routes</w:t>
      </w:r>
      <w:r>
        <w:rPr>
          <w:rFonts w:ascii="Times New Roman" w:hAnsi="Times New Roman" w:cs="Times New Roman"/>
        </w:rPr>
        <w:t xml:space="preserve">, </w:t>
      </w:r>
      <w:r w:rsidRPr="00D91FB5">
        <w:rPr>
          <w:rFonts w:ascii="Times New Roman" w:hAnsi="Times New Roman" w:cs="Times New Roman"/>
        </w:rPr>
        <w:t xml:space="preserve">classical nonlinear least squares (NLLS), continuous VQE/VQA (bounded decoding + COBYLA outer loop), and discrete QAOA (surrogate QUBO/Ising + </w:t>
      </w:r>
      <m:oMath>
        <m:r>
          <w:rPr>
            <w:rStyle w:val="katex-mathml"/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</w:rPr>
          <m:t>–</m:t>
        </m:r>
        <m:r>
          <w:rPr>
            <w:rStyle w:val="katex-mathml"/>
            <w:rFonts w:ascii="Cambria Math" w:hAnsi="Cambria Math" w:cs="Times New Roman"/>
          </w:rPr>
          <m:t>β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D91FB5">
        <w:rPr>
          <w:rFonts w:ascii="Times New Roman" w:hAnsi="Times New Roman" w:cs="Times New Roman"/>
        </w:rPr>
        <w:t>search + best-shot decoding)</w:t>
      </w:r>
      <w:r>
        <w:rPr>
          <w:rFonts w:ascii="Times New Roman" w:hAnsi="Times New Roman" w:cs="Times New Roman"/>
        </w:rPr>
        <w:t xml:space="preserve">, </w:t>
      </w:r>
      <w:r w:rsidRPr="00D91FB5">
        <w:rPr>
          <w:rFonts w:ascii="Times New Roman" w:hAnsi="Times New Roman" w:cs="Times New Roman"/>
        </w:rPr>
        <w:t xml:space="preserve">reporting wall-time, number of objective evaluations, average time per evaluation, and sampling budget (shots = 4096 where applicable) in a fixed software/hardware environment (platform + Python/NumPy/SciPy versions and number of frequency points </w:t>
      </w:r>
      <w:r w:rsidRPr="00D91FB5">
        <w:rPr>
          <w:rStyle w:val="katex-mathml"/>
          <w:rFonts w:ascii="Times New Roman" w:hAnsi="Times New Roman" w:cs="Times New Roman"/>
        </w:rPr>
        <w:t>N</w:t>
      </w:r>
      <w:r w:rsidRPr="00D91FB5">
        <w:rPr>
          <w:rFonts w:ascii="Times New Roman" w:hAnsi="Times New Roman" w:cs="Times New Roman"/>
        </w:rPr>
        <w:t xml:space="preserve">). The table also summarizes scaling-relevant factors (e.g., </w:t>
      </w:r>
      <w:r w:rsidRPr="00D91FB5">
        <w:rPr>
          <w:rStyle w:val="katex-mathml"/>
          <w:rFonts w:ascii="Times New Roman" w:hAnsi="Times New Roman" w:cs="Times New Roman"/>
        </w:rPr>
        <w:t>O(N)</w:t>
      </w:r>
      <w:r w:rsidRPr="00D91FB5">
        <w:rPr>
          <w:rFonts w:ascii="Times New Roman" w:hAnsi="Times New Roman" w:cs="Times New Roman"/>
        </w:rPr>
        <w:t xml:space="preserve"> circuit-model evaluation, dependence on angle-grid size for QAOA) and provides a practical breakdown highlighting the dominant QAOA costs from surrogate finite-difference construction, Ising-energy precomputation, and angle-evaluation/sampling.</w:t>
      </w:r>
    </w:p>
    <w:tbl>
      <w:tblPr>
        <w:tblStyle w:val="a4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997"/>
        <w:gridCol w:w="1271"/>
        <w:gridCol w:w="709"/>
        <w:gridCol w:w="1134"/>
        <w:gridCol w:w="1134"/>
        <w:gridCol w:w="1134"/>
      </w:tblGrid>
      <w:tr w:rsidR="00532AD4" w:rsidRPr="00926557" w14:paraId="2994461E" w14:textId="77777777" w:rsidTr="004C06FF"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A832C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Method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6FAE3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Algorithm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3B060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Wall-time (s)</w:t>
            </w: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251E2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Objective evals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BFA14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Avg time / eval (s)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5CD32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Shots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DE1C9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Key scaling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BC810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Notes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70B2B" w14:textId="77777777" w:rsidR="00532AD4" w:rsidRPr="00926557" w:rsidRDefault="00532AD4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6557">
              <w:rPr>
                <w:rFonts w:ascii="Times New Roman" w:hAnsi="Times New Roman" w:cs="Times New Roman"/>
                <w:bCs/>
                <w:sz w:val="20"/>
                <w:szCs w:val="20"/>
              </w:rPr>
              <w:t>Breakdown</w:t>
            </w:r>
          </w:p>
        </w:tc>
      </w:tr>
      <w:tr w:rsidR="00532AD4" w:rsidRPr="004230F1" w14:paraId="5EDDFD14" w14:textId="77777777" w:rsidTr="004C06FF">
        <w:tc>
          <w:tcPr>
            <w:tcW w:w="1271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52AA0A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Classical NLLS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5223DD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SciPy least_squares (TRF)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6B425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0.0139120839999691</w:t>
            </w:r>
          </w:p>
        </w:tc>
        <w:tc>
          <w:tcPr>
            <w:tcW w:w="997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A9C7A2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5C63AC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0.002318680666661521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8A4D0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87859F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≈O(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freq</m:t>
                  </m:r>
                </m:sub>
              </m:sSub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) per eval; convergence-dependent nfev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1DF83B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Deterministic baseline; direct complex residual fit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C8D69D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532AD4" w:rsidRPr="004230F1" w14:paraId="7DAB8718" w14:textId="77777777" w:rsidTr="004C06FF">
        <w:tc>
          <w:tcPr>
            <w:tcW w:w="12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42E360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VQE/VQA (continuous)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199E0F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COBYLA (bounded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[0,1]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sup>
              </m:sSup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18A87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0.0100197649999813</w:t>
            </w:r>
          </w:p>
        </w:tc>
        <w:tc>
          <w:tcPr>
            <w:tcW w:w="997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BC383C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71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C60B73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0.0001890521698109691</w:t>
            </w:r>
          </w:p>
        </w:tc>
        <w:tc>
          <w:tcPr>
            <w:tcW w:w="70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B1F05B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13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5E81AA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Hardware: O(shots·depth) per eval; here classical model O(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freq</m:t>
                  </m:r>
                </m:sub>
              </m:sSub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A12FD8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Continuous search; no discretization; optimizer settings affect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fev</m:t>
                  </m:r>
                </m:sub>
              </m:sSub>
            </m:oMath>
          </w:p>
        </w:tc>
        <w:tc>
          <w:tcPr>
            <w:tcW w:w="113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B5708C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532AD4" w:rsidRPr="004230F1" w14:paraId="4BEF6744" w14:textId="77777777" w:rsidTr="004C06FF">
        <w:tc>
          <w:tcPr>
            <w:tcW w:w="1271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6A9490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QAOA (discrete)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D22111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p=1 + γ–β</m:t>
              </m:r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 grid (25+81) + best-shot decode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B7153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269.58927698999923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476993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99 (surrogate) + 106 (angles)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A9FFF2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2.432 (per </w:t>
            </w:r>
            <m:oMath>
              <m:r>
                <w:rPr>
                  <w:rFonts w:ascii="Cambria Math" w:hAnsi="Cambria Math" w:cs="Cambria Math"/>
                  <w:sz w:val="20"/>
                  <w:szCs w:val="20"/>
                </w:rPr>
                <m:t>⟨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⟩</m:t>
              </m:r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 eval)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CCD50F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4096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167ABE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Angle-search </w:t>
            </w:r>
            <w:r w:rsidRPr="004230F1">
              <w:rPr>
                <w:rFonts w:ascii="Cambria Math" w:hAnsi="Cambria Math" w:cs="Cambria Math"/>
                <w:sz w:val="20"/>
                <w:szCs w:val="20"/>
              </w:rPr>
              <w:t>∝</w:t>
            </w: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 #evals; qubits=7×bits; Δ sets local window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6F79C8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Δ=0.08</m:t>
              </m:r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*</m:t>
                  </m:r>
                </m:sup>
              </m:sSup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 xml:space="preserve">=2.8667,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β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*</m:t>
                  </m:r>
                </m:sup>
              </m:sSup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=0.6676; reference implementation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9FAE53" w14:textId="77777777" w:rsidR="00532AD4" w:rsidRPr="004230F1" w:rsidRDefault="00532AD4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Surrogate FD + energy precomp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ute + 106×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⟨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⟩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eval + </m:t>
              </m:r>
            </m:oMath>
            <w:r w:rsidRPr="004230F1">
              <w:rPr>
                <w:rFonts w:ascii="Times New Roman" w:hAnsi="Times New Roman" w:cs="Times New Roman"/>
                <w:sz w:val="20"/>
                <w:szCs w:val="20"/>
              </w:rPr>
              <w:t>sampling</w:t>
            </w:r>
          </w:p>
        </w:tc>
      </w:tr>
    </w:tbl>
    <w:p w14:paraId="3A596FA0" w14:textId="77777777" w:rsidR="00532AD4" w:rsidRDefault="00532AD4" w:rsidP="00532AD4">
      <w:pPr>
        <w:rPr>
          <w:rFonts w:ascii="Times New Roman" w:hAnsi="Times New Roman" w:cs="Times New Roman"/>
          <w:b/>
          <w:bCs/>
        </w:rPr>
      </w:pPr>
    </w:p>
    <w:p w14:paraId="3583246E" w14:textId="77777777" w:rsidR="00635133" w:rsidRPr="00532AD4" w:rsidRDefault="00635133"/>
    <w:sectPr w:rsidR="00635133" w:rsidRPr="00532AD4" w:rsidSect="00532AD4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D4"/>
    <w:rsid w:val="00532AD4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B6584"/>
  <w15:chartTrackingRefBased/>
  <w15:docId w15:val="{8D5710D6-7787-4243-932B-9AC2C8FF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AD4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32AD4"/>
    <w:rPr>
      <w:b/>
      <w:bCs/>
    </w:rPr>
  </w:style>
  <w:style w:type="character" w:customStyle="1" w:styleId="katex-mathml">
    <w:name w:val="katex-mathml"/>
    <w:basedOn w:val="a0"/>
    <w:rsid w:val="00532AD4"/>
  </w:style>
  <w:style w:type="table" w:styleId="a4">
    <w:name w:val="Table Grid"/>
    <w:basedOn w:val="a1"/>
    <w:uiPriority w:val="59"/>
    <w:rsid w:val="00532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2026-02-28T03:58:00Z</dcterms:created>
  <dcterms:modified xsi:type="dcterms:W3CDTF">2026-02-28T03:58:00Z</dcterms:modified>
</cp:coreProperties>
</file>