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37F81" w14:textId="77777777" w:rsidR="000033AA" w:rsidRPr="00F92716" w:rsidRDefault="000033AA" w:rsidP="000033A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92716">
        <w:rPr>
          <w:rStyle w:val="a3"/>
          <w:rFonts w:ascii="Times New Roman" w:hAnsi="Times New Roman" w:cs="Times New Roman"/>
        </w:rPr>
        <w:t>Table S1 | Parameter bounds and bounded decoding map for MXene EIS inference.</w:t>
      </w:r>
      <w:r w:rsidRPr="00F92716">
        <w:rPr>
          <w:rFonts w:ascii="Times New Roman" w:hAnsi="Times New Roman" w:cs="Times New Roman"/>
        </w:rPr>
        <w:t xml:space="preserve"> Parameter-domain constraints (lower/upper bounds) and the corresponding decoding rules used consistently across the classical NLLS baseline, the continuous VQE/VQA branch, and the discrete QUBO/QAOA branch for the 7-parameter circuit </w:t>
      </w:r>
      <m:oMath>
        <m:r>
          <w:rPr>
            <w:rFonts w:ascii="Cambria Math" w:hAnsi="Cambria Math" w:cs="Times New Roman"/>
          </w:rPr>
          <m:t>θ={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,L,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F92716">
        <w:rPr>
          <w:rFonts w:ascii="Times New Roman" w:hAnsi="Times New Roman" w:cs="Times New Roman"/>
        </w:rPr>
        <w:t xml:space="preserve">. The table specifies each parameter’s physical meaning and units and indicates whether the optimizer operates in a log-scaled or linear coordinate, with sigmoid-bounded mapping where applicable to guarantee feasibility (e.g., </w:t>
      </w:r>
      <m:oMath>
        <m:r>
          <w:rPr>
            <w:rStyle w:val="katex-mathml"/>
            <w:rFonts w:ascii="Cambria Math" w:hAnsi="Cambria Math" w:cs="Times New Roman"/>
          </w:rPr>
          <m:t>R&gt;0</m:t>
        </m:r>
      </m:oMath>
      <w:r w:rsidRPr="00F92716">
        <w:rPr>
          <w:rFonts w:ascii="Times New Roman" w:hAnsi="Times New Roman" w:cs="Times New Roman"/>
        </w:rPr>
        <w:t xml:space="preserve">, </w:t>
      </w:r>
      <m:oMath>
        <m:r>
          <w:rPr>
            <w:rStyle w:val="katex-mathml"/>
            <w:rFonts w:ascii="Cambria Math" w:hAnsi="Cambria Math" w:cs="Times New Roman"/>
          </w:rPr>
          <m:t>0&lt;α≤1</m:t>
        </m:r>
      </m:oMath>
      <w:r w:rsidRPr="00F92716">
        <w:rPr>
          <w:rFonts w:ascii="Times New Roman" w:hAnsi="Times New Roman" w:cs="Times New Roman"/>
        </w:rPr>
        <w:t>) during optimization and decoding.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1153"/>
        <w:gridCol w:w="2533"/>
        <w:gridCol w:w="850"/>
        <w:gridCol w:w="1560"/>
        <w:gridCol w:w="1417"/>
        <w:gridCol w:w="2126"/>
      </w:tblGrid>
      <w:tr w:rsidR="000033AA" w:rsidRPr="00F92716" w14:paraId="2E352A77" w14:textId="77777777" w:rsidTr="004C06FF">
        <w:tc>
          <w:tcPr>
            <w:tcW w:w="11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FF621D" w14:textId="77777777" w:rsidR="000033AA" w:rsidRPr="00F92716" w:rsidRDefault="000033AA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92716">
              <w:rPr>
                <w:rFonts w:ascii="Times New Roman" w:hAnsi="Times New Roman" w:cs="Times New Roman"/>
                <w:bCs/>
                <w:sz w:val="20"/>
                <w:szCs w:val="20"/>
              </w:rPr>
              <w:t>Parameter</w:t>
            </w:r>
          </w:p>
        </w:tc>
        <w:tc>
          <w:tcPr>
            <w:tcW w:w="253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D63BBE3" w14:textId="77777777" w:rsidR="000033AA" w:rsidRPr="00F92716" w:rsidRDefault="000033AA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92716">
              <w:rPr>
                <w:rFonts w:ascii="Times New Roman" w:hAnsi="Times New Roman" w:cs="Times New Roman"/>
                <w:bCs/>
                <w:sz w:val="20"/>
                <w:szCs w:val="20"/>
              </w:rPr>
              <w:t>Description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2BECFF" w14:textId="77777777" w:rsidR="000033AA" w:rsidRPr="00F92716" w:rsidRDefault="000033AA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92716">
              <w:rPr>
                <w:rFonts w:ascii="Times New Roman" w:hAnsi="Times New Roman" w:cs="Times New Roman"/>
                <w:bCs/>
                <w:sz w:val="20"/>
                <w:szCs w:val="20"/>
              </w:rPr>
              <w:t>Units</w:t>
            </w:r>
          </w:p>
        </w:tc>
        <w:tc>
          <w:tcPr>
            <w:tcW w:w="15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2FE44D" w14:textId="77777777" w:rsidR="000033AA" w:rsidRPr="00F92716" w:rsidRDefault="000033AA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92716">
              <w:rPr>
                <w:rFonts w:ascii="Times New Roman" w:hAnsi="Times New Roman" w:cs="Times New Roman"/>
                <w:bCs/>
                <w:sz w:val="20"/>
                <w:szCs w:val="20"/>
              </w:rPr>
              <w:t>Lower Bound</w:t>
            </w:r>
          </w:p>
        </w:tc>
        <w:tc>
          <w:tcPr>
            <w:tcW w:w="14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E564CDE" w14:textId="77777777" w:rsidR="000033AA" w:rsidRPr="00F92716" w:rsidRDefault="000033AA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92716">
              <w:rPr>
                <w:rFonts w:ascii="Times New Roman" w:hAnsi="Times New Roman" w:cs="Times New Roman"/>
                <w:bCs/>
                <w:sz w:val="20"/>
                <w:szCs w:val="20"/>
              </w:rPr>
              <w:t>Upper Bound</w:t>
            </w:r>
          </w:p>
        </w:tc>
        <w:tc>
          <w:tcPr>
            <w:tcW w:w="212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FCFB3E6" w14:textId="77777777" w:rsidR="000033AA" w:rsidRPr="00F92716" w:rsidRDefault="000033AA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92716">
              <w:rPr>
                <w:rFonts w:ascii="Times New Roman" w:hAnsi="Times New Roman" w:cs="Times New Roman"/>
                <w:bCs/>
                <w:sz w:val="20"/>
                <w:szCs w:val="20"/>
              </w:rPr>
              <w:t>Encoding Strategy</w:t>
            </w:r>
          </w:p>
        </w:tc>
      </w:tr>
      <w:tr w:rsidR="000033AA" w:rsidRPr="006B6013" w14:paraId="3D8E86D4" w14:textId="77777777" w:rsidTr="004C06FF"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48AADBA4" w14:textId="77777777" w:rsidR="000033AA" w:rsidRPr="00F92716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</m:oMath>
            </m:oMathPara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</w:tcPr>
          <w:p w14:paraId="5DB8F632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Inductance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BC9D148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86E66F6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1.88×10</w:t>
            </w:r>
            <w:r w:rsidRPr="006B601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E70C0DD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1.88×10</w:t>
            </w:r>
            <w:r w:rsidRPr="006B601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36A39B6D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Log-scale, sigmoid-bounded</w:t>
            </w:r>
          </w:p>
        </w:tc>
      </w:tr>
      <w:tr w:rsidR="000033AA" w:rsidRPr="006B6013" w14:paraId="5E80C3FB" w14:textId="77777777" w:rsidTr="004C06FF"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1FD751E1" w14:textId="77777777" w:rsidR="000033AA" w:rsidRPr="00F92716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</w:tcPr>
          <w:p w14:paraId="226CD691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Series resistance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4704A7F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Ω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2E6D177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0.0873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BFE8838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8.73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3EBC727C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Log-scale, sigmoid-bounded</w:t>
            </w:r>
          </w:p>
        </w:tc>
      </w:tr>
      <w:tr w:rsidR="000033AA" w:rsidRPr="006B6013" w14:paraId="5BDA8F7B" w14:textId="77777777" w:rsidTr="004C06FF"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0CEB5239" w14:textId="77777777" w:rsidR="000033AA" w:rsidRPr="00F92716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ct</m:t>
                    </m:r>
                  </m:sub>
                </m:sSub>
              </m:oMath>
            </m:oMathPara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</w:tcPr>
          <w:p w14:paraId="3ABE069C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Charge-transfer resistance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7106777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Ω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3B5DFD13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FC28843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4F23B53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Log-scale, sigmoid-bounded</w:t>
            </w:r>
          </w:p>
        </w:tc>
      </w:tr>
      <w:tr w:rsidR="000033AA" w:rsidRPr="006B6013" w14:paraId="1F0B84D8" w14:textId="77777777" w:rsidTr="004C06FF"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6ABF4197" w14:textId="77777777" w:rsidR="000033AA" w:rsidRPr="00F92716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</w:tcPr>
          <w:p w14:paraId="46442AE0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CPE magnitude (branch 1)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02DB83B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S·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350175A4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2.62×10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40AF5FD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0.0262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38BA37C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Log-scale</w:t>
            </w:r>
          </w:p>
        </w:tc>
      </w:tr>
      <w:tr w:rsidR="000033AA" w:rsidRPr="006B6013" w14:paraId="7C94F2EF" w14:textId="77777777" w:rsidTr="004C06FF"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17F4202C" w14:textId="77777777" w:rsidR="000033AA" w:rsidRPr="00F92716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</w:tcPr>
          <w:p w14:paraId="0B82F953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CPE exponent (branch 1)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AA3A79D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3362104C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417FA6A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36EEA74D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Linear, sigmoid</w:t>
            </w:r>
          </w:p>
        </w:tc>
      </w:tr>
      <w:tr w:rsidR="000033AA" w:rsidRPr="006B6013" w14:paraId="4E62AA41" w14:textId="77777777" w:rsidTr="004C06FF"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7938C357" w14:textId="77777777" w:rsidR="000033AA" w:rsidRPr="00F92716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</w:tcPr>
          <w:p w14:paraId="11AADF03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CPE magnitude (branch 2)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33A3A0C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S·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BD1D4E5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2.12×10</w:t>
            </w:r>
            <w:r w:rsidRPr="006B601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BE13CAB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0.0212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AE1400B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Log-scale</w:t>
            </w:r>
          </w:p>
        </w:tc>
      </w:tr>
      <w:tr w:rsidR="000033AA" w:rsidRPr="006B6013" w14:paraId="6EE0D3FF" w14:textId="77777777" w:rsidTr="004C06FF">
        <w:tc>
          <w:tcPr>
            <w:tcW w:w="115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A2A6BA9" w14:textId="77777777" w:rsidR="000033AA" w:rsidRPr="00F92716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3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8710964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CPE exponent (branch 2)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381F061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AEFBC23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A117124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A2E5788" w14:textId="77777777" w:rsidR="000033AA" w:rsidRPr="006B6013" w:rsidRDefault="000033AA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Linear</w:t>
            </w:r>
          </w:p>
        </w:tc>
      </w:tr>
    </w:tbl>
    <w:p w14:paraId="4231C470" w14:textId="77777777" w:rsidR="000033AA" w:rsidRPr="006B6013" w:rsidRDefault="000033AA" w:rsidP="000033AA">
      <w:pPr>
        <w:spacing w:before="100" w:beforeAutospacing="1" w:after="100" w:afterAutospacing="1"/>
        <w:jc w:val="both"/>
        <w:rPr>
          <w:rFonts w:ascii="Times New Roman" w:hAnsi="Times New Roman" w:cs="Times New Roman"/>
        </w:rPr>
      </w:pPr>
    </w:p>
    <w:p w14:paraId="3D94A1E7" w14:textId="77777777" w:rsidR="00635133" w:rsidRDefault="00635133"/>
    <w:sectPr w:rsidR="00635133" w:rsidSect="000033AA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AA"/>
    <w:rsid w:val="000033AA"/>
    <w:rsid w:val="0063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768FF"/>
  <w15:chartTrackingRefBased/>
  <w15:docId w15:val="{C623A613-5B11-A446-8890-35B65EF4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3AA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033AA"/>
    <w:rPr>
      <w:b/>
      <w:bCs/>
    </w:rPr>
  </w:style>
  <w:style w:type="character" w:customStyle="1" w:styleId="katex-mathml">
    <w:name w:val="katex-mathml"/>
    <w:basedOn w:val="a0"/>
    <w:rsid w:val="00003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2026-02-28T03:27:00Z</dcterms:created>
  <dcterms:modified xsi:type="dcterms:W3CDTF">2026-02-28T03:27:00Z</dcterms:modified>
</cp:coreProperties>
</file>