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69872" w14:textId="77777777" w:rsidR="00E33E28" w:rsidRPr="001419A2" w:rsidRDefault="00E33E28" w:rsidP="00E33E28">
      <w:pPr>
        <w:pStyle w:val="3"/>
        <w:spacing w:line="360" w:lineRule="auto"/>
        <w:jc w:val="both"/>
        <w:rPr>
          <w:rFonts w:ascii="Times New Roman" w:hAnsi="Times New Roman" w:cs="Times New Roman"/>
          <w:sz w:val="24"/>
          <w:szCs w:val="24"/>
        </w:rPr>
      </w:pPr>
      <w:r w:rsidRPr="001419A2">
        <w:rPr>
          <w:rFonts w:ascii="Times New Roman" w:hAnsi="Times New Roman" w:cs="Times New Roman"/>
          <w:sz w:val="24"/>
          <w:szCs w:val="24"/>
        </w:rPr>
        <w:t>Note S</w:t>
      </w:r>
      <w:r>
        <w:rPr>
          <w:rFonts w:ascii="Times New Roman" w:hAnsi="Times New Roman" w:cs="Times New Roman"/>
          <w:sz w:val="24"/>
          <w:szCs w:val="24"/>
        </w:rPr>
        <w:t>5</w:t>
      </w:r>
      <w:r>
        <w:rPr>
          <w:rStyle w:val="a3"/>
          <w:rFonts w:ascii="Times New Roman" w:hAnsi="Times New Roman" w:cs="Times New Roman"/>
          <w:color w:val="FF0000"/>
          <w:sz w:val="24"/>
          <w:szCs w:val="24"/>
        </w:rPr>
        <w:t xml:space="preserve"> </w:t>
      </w:r>
      <w:r w:rsidRPr="001419A2">
        <w:rPr>
          <w:rFonts w:ascii="Times New Roman" w:hAnsi="Times New Roman" w:cs="Times New Roman"/>
          <w:sz w:val="24"/>
          <w:szCs w:val="24"/>
        </w:rPr>
        <w:t>| Residual structure and error propagation in MXene EIS analysis</w:t>
      </w:r>
    </w:p>
    <w:p w14:paraId="07B335F1" w14:textId="77777777" w:rsidR="00E33E28" w:rsidRPr="001419A2"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 xml:space="preserve">This work evaluates model adequacy and parameter reliability by analyzing the </w:t>
      </w:r>
      <w:r w:rsidRPr="001419A2">
        <w:rPr>
          <w:rStyle w:val="a4"/>
          <w:rFonts w:ascii="Times New Roman" w:hAnsi="Times New Roman" w:cs="Times New Roman"/>
        </w:rPr>
        <w:t>structure</w:t>
      </w:r>
      <w:r w:rsidRPr="001419A2">
        <w:rPr>
          <w:rFonts w:ascii="Times New Roman" w:hAnsi="Times New Roman" w:cs="Times New Roman"/>
        </w:rPr>
        <w:t xml:space="preserve"> of complex residuals and by propagating measurement/model errors into fitted parameter uncertainty. For each frequency point </w:t>
      </w:r>
      <m:oMath>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oMath>
      <w:r w:rsidRPr="001419A2">
        <w:rPr>
          <w:rFonts w:ascii="Times New Roman" w:hAnsi="Times New Roman" w:cs="Times New Roman"/>
        </w:rPr>
        <w:t>, the complex residual is defi</w:t>
      </w:r>
      <w:proofErr w:type="spellStart"/>
      <w:r w:rsidRPr="001419A2">
        <w:rPr>
          <w:rFonts w:ascii="Times New Roman" w:hAnsi="Times New Roman" w:cs="Times New Roman"/>
        </w:rPr>
        <w:t>ned</w:t>
      </w:r>
      <w:proofErr w:type="spellEnd"/>
      <w:r w:rsidRPr="001419A2">
        <w:rPr>
          <w:rFonts w:ascii="Times New Roman" w:hAnsi="Times New Roman" w:cs="Times New Roman"/>
        </w:rPr>
        <w:t xml:space="preserve"> as</w:t>
      </w:r>
    </w:p>
    <w:p w14:paraId="01292104"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sSub>
          <m:sSubPr>
            <m:ctrlPr>
              <w:rPr>
                <w:rStyle w:val="katex-mathml"/>
                <w:rFonts w:ascii="Cambria Math" w:hAnsi="Cambria Math" w:cs="Times New Roman"/>
                <w:i/>
              </w:rPr>
            </m:ctrlPr>
          </m:sSubPr>
          <m:e>
            <m:r>
              <w:rPr>
                <w:rStyle w:val="katex-mathml"/>
                <w:rFonts w:ascii="Cambria Math" w:hAnsi="Cambria Math" w:cs="Times New Roman"/>
              </w:rPr>
              <m:t>r</m:t>
            </m:r>
          </m:e>
          <m:sub>
            <m:r>
              <w:rPr>
                <w:rStyle w:val="katex-mathml"/>
                <w:rFonts w:ascii="Cambria Math" w:hAnsi="Cambria Math" w:cs="Times New Roman"/>
              </w:rPr>
              <m:t>k</m:t>
            </m:r>
          </m:sub>
        </m:sSub>
        <m:d>
          <m:dPr>
            <m:ctrlPr>
              <w:rPr>
                <w:rStyle w:val="katex-mathml"/>
                <w:rFonts w:ascii="Cambria Math" w:hAnsi="Cambria Math" w:cs="Times New Roman"/>
                <w:i/>
              </w:rPr>
            </m:ctrlPr>
          </m:dPr>
          <m:e>
            <m:r>
              <w:rPr>
                <w:rStyle w:val="katex-mathml"/>
                <w:rFonts w:ascii="Cambria Math" w:hAnsi="Cambria Math" w:cs="Times New Roman"/>
              </w:rPr>
              <m:t>θ</m:t>
            </m:r>
          </m:e>
        </m:d>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model</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r>
              <w:rPr>
                <w:rStyle w:val="katex-mathml"/>
                <w:rFonts w:ascii="Cambria Math" w:hAnsi="Cambria Math" w:cs="Times New Roman"/>
              </w:rPr>
              <m:t>;θ</m:t>
            </m:r>
          </m:e>
        </m:d>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data</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r>
              <w:rPr>
                <w:rStyle w:val="katex-mathml"/>
                <w:rFonts w:ascii="Cambria Math" w:hAnsi="Cambria Math" w:cs="Times New Roman"/>
              </w:rPr>
              <m:t>;θ</m:t>
            </m:r>
          </m:e>
        </m:d>
        <m:r>
          <w:rPr>
            <w:rStyle w:val="katex-mathml"/>
            <w:rFonts w:ascii="Cambria Math" w:hAnsi="Cambria Math" w:cs="Times New Roman"/>
          </w:rPr>
          <m:t>=</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script"/>
              </m:rPr>
              <w:rPr>
                <w:rStyle w:val="katex-mathml"/>
                <w:rFonts w:ascii="Cambria Math" w:hAnsi="Cambria Math" w:cs="Times New Roman"/>
              </w:rPr>
              <m:t>R</m:t>
            </m:r>
          </m:sup>
        </m:sSubSup>
        <m:r>
          <w:rPr>
            <w:rStyle w:val="katex-mathml"/>
            <w:rFonts w:ascii="Cambria Math" w:hAnsi="Cambria Math" w:cs="Times New Roman"/>
          </w:rPr>
          <m:t>+</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fraktur"/>
              </m:rPr>
              <w:rPr>
                <w:rStyle w:val="katex-mathml"/>
                <w:rFonts w:ascii="Cambria Math" w:hAnsi="Cambria Math" w:cs="Times New Roman"/>
              </w:rPr>
              <m:t>I</m:t>
            </m:r>
          </m:sup>
        </m:sSubSup>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(S14)</w:t>
      </w:r>
    </w:p>
    <w:p w14:paraId="21E44E5A" w14:textId="77777777" w:rsidR="00E33E28" w:rsidRPr="001419A2"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and the fitting objective used in the main text is the complex-domain sum of squares</w:t>
      </w:r>
    </w:p>
    <w:p w14:paraId="4E9E9981"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r>
          <w:rPr>
            <w:rStyle w:val="katex-mathml"/>
            <w:rFonts w:ascii="Cambria Math" w:hAnsi="Cambria Math" w:cs="Times New Roman"/>
          </w:rPr>
          <m:t>SSE</m:t>
        </m:r>
        <m:d>
          <m:dPr>
            <m:ctrlPr>
              <w:rPr>
                <w:rStyle w:val="katex-mathml"/>
                <w:rFonts w:ascii="Cambria Math" w:hAnsi="Cambria Math" w:cs="Times New Roman"/>
                <w:i/>
              </w:rPr>
            </m:ctrlPr>
          </m:dPr>
          <m:e>
            <m:r>
              <w:rPr>
                <w:rStyle w:val="katex-mathml"/>
                <w:rFonts w:ascii="Cambria Math" w:hAnsi="Cambria Math" w:cs="Times New Roman"/>
              </w:rPr>
              <m:t>θ</m:t>
            </m:r>
          </m:e>
        </m:d>
        <m:r>
          <w:rPr>
            <w:rStyle w:val="katex-mathml"/>
            <w:rFonts w:ascii="Cambria Math" w:hAnsi="Cambria Math" w:cs="Times New Roman"/>
          </w:rPr>
          <m:t>=</m:t>
        </m:r>
        <m:nary>
          <m:naryPr>
            <m:chr m:val="∑"/>
            <m:limLoc m:val="undOvr"/>
            <m:ctrlPr>
              <w:rPr>
                <w:rStyle w:val="katex-mathml"/>
                <w:rFonts w:ascii="Cambria Math" w:hAnsi="Cambria Math" w:cs="Times New Roman"/>
                <w:i/>
              </w:rPr>
            </m:ctrlPr>
          </m:naryPr>
          <m:sub>
            <m:r>
              <w:rPr>
                <w:rStyle w:val="katex-mathml"/>
                <w:rFonts w:ascii="Cambria Math" w:hAnsi="Cambria Math" w:cs="Times New Roman"/>
              </w:rPr>
              <m:t>k=1</m:t>
            </m:r>
          </m:sub>
          <m:sup>
            <m:r>
              <w:rPr>
                <w:rStyle w:val="katex-mathml"/>
                <w:rFonts w:ascii="Cambria Math" w:hAnsi="Cambria Math" w:cs="Times New Roman"/>
              </w:rPr>
              <m:t>N</m:t>
            </m:r>
          </m:sup>
          <m:e>
            <m:sSup>
              <m:sSupPr>
                <m:ctrlPr>
                  <w:rPr>
                    <w:rStyle w:val="katex-mathml"/>
                    <w:rFonts w:ascii="Cambria Math" w:hAnsi="Cambria Math" w:cs="Times New Roman"/>
                    <w:i/>
                  </w:rPr>
                </m:ctrlPr>
              </m:sSupPr>
              <m:e>
                <m:d>
                  <m:dPr>
                    <m:begChr m:val="|"/>
                    <m:endChr m:val="|"/>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r</m:t>
                        </m:r>
                      </m:e>
                      <m:sub>
                        <m:r>
                          <w:rPr>
                            <w:rStyle w:val="katex-mathml"/>
                            <w:rFonts w:ascii="Cambria Math" w:hAnsi="Cambria Math" w:cs="Times New Roman"/>
                          </w:rPr>
                          <m:t>k</m:t>
                        </m:r>
                      </m:sub>
                    </m:sSub>
                    <m:d>
                      <m:dPr>
                        <m:ctrlPr>
                          <w:rPr>
                            <w:rStyle w:val="katex-mathml"/>
                            <w:rFonts w:ascii="Cambria Math" w:hAnsi="Cambria Math" w:cs="Times New Roman"/>
                            <w:i/>
                          </w:rPr>
                        </m:ctrlPr>
                      </m:dPr>
                      <m:e>
                        <m:r>
                          <w:rPr>
                            <w:rStyle w:val="katex-mathml"/>
                            <w:rFonts w:ascii="Cambria Math" w:hAnsi="Cambria Math" w:cs="Times New Roman"/>
                          </w:rPr>
                          <m:t>θ</m:t>
                        </m:r>
                      </m:e>
                    </m:d>
                  </m:e>
                </m:d>
              </m:e>
              <m:sup>
                <m:r>
                  <w:rPr>
                    <w:rStyle w:val="katex-mathml"/>
                    <w:rFonts w:ascii="Cambria Math" w:hAnsi="Cambria Math" w:cs="Times New Roman"/>
                  </w:rPr>
                  <m:t>2</m:t>
                </m:r>
              </m:sup>
            </m:sSup>
          </m:e>
        </m:nary>
        <m:r>
          <w:rPr>
            <w:rStyle w:val="katex-mathml"/>
            <w:rFonts w:ascii="Cambria Math" w:hAnsi="Cambria Math" w:cs="Times New Roman"/>
          </w:rPr>
          <m:t>=</m:t>
        </m:r>
        <m:nary>
          <m:naryPr>
            <m:chr m:val="∑"/>
            <m:limLoc m:val="undOvr"/>
            <m:ctrlPr>
              <w:rPr>
                <w:rStyle w:val="katex-mathml"/>
                <w:rFonts w:ascii="Cambria Math" w:hAnsi="Cambria Math" w:cs="Times New Roman"/>
                <w:i/>
              </w:rPr>
            </m:ctrlPr>
          </m:naryPr>
          <m:sub>
            <m:r>
              <w:rPr>
                <w:rStyle w:val="katex-mathml"/>
                <w:rFonts w:ascii="Cambria Math" w:hAnsi="Cambria Math" w:cs="Times New Roman"/>
              </w:rPr>
              <m:t>k=1</m:t>
            </m:r>
          </m:sub>
          <m:sup>
            <m:r>
              <w:rPr>
                <w:rStyle w:val="katex-mathml"/>
                <w:rFonts w:ascii="Cambria Math" w:hAnsi="Cambria Math" w:cs="Times New Roman"/>
              </w:rPr>
              <m:t>N</m:t>
            </m:r>
          </m:sup>
          <m:e>
            <m:d>
              <m:dPr>
                <m:begChr m:val="|"/>
                <m:endChr m:val="|"/>
                <m:ctrlPr>
                  <w:rPr>
                    <w:rStyle w:val="katex-mathml"/>
                    <w:rFonts w:ascii="Cambria Math" w:hAnsi="Cambria Math" w:cs="Times New Roman"/>
                    <w:i/>
                  </w:rPr>
                </m:ctrlPr>
              </m:dPr>
              <m:e>
                <m:sSup>
                  <m:sSupPr>
                    <m:ctrlPr>
                      <w:rPr>
                        <w:rStyle w:val="katex-mathml"/>
                        <w:rFonts w:ascii="Cambria Math" w:hAnsi="Cambria Math" w:cs="Times New Roman"/>
                        <w:i/>
                      </w:rPr>
                    </m:ctrlPr>
                  </m:sSupPr>
                  <m:e>
                    <m:d>
                      <m:dPr>
                        <m:ctrlPr>
                          <w:rPr>
                            <w:rStyle w:val="katex-mathml"/>
                            <w:rFonts w:ascii="Cambria Math" w:hAnsi="Cambria Math" w:cs="Times New Roman"/>
                            <w:i/>
                          </w:rPr>
                        </m:ctrlPr>
                      </m:dPr>
                      <m:e>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fraktur"/>
                              </m:rPr>
                              <w:rPr>
                                <w:rStyle w:val="katex-mathml"/>
                                <w:rFonts w:ascii="Cambria Math" w:hAnsi="Cambria Math" w:cs="Times New Roman"/>
                              </w:rPr>
                              <m:t>R</m:t>
                            </m:r>
                          </m:sup>
                        </m:sSubSup>
                      </m:e>
                    </m:d>
                  </m:e>
                  <m:sup>
                    <m:r>
                      <w:rPr>
                        <w:rStyle w:val="katex-mathml"/>
                        <w:rFonts w:ascii="Cambria Math" w:hAnsi="Cambria Math" w:cs="Times New Roman"/>
                      </w:rPr>
                      <m:t>2</m:t>
                    </m:r>
                  </m:sup>
                </m:sSup>
                <m:r>
                  <w:rPr>
                    <w:rStyle w:val="katex-mathml"/>
                    <w:rFonts w:ascii="Cambria Math" w:hAnsi="Cambria Math" w:cs="Times New Roman"/>
                  </w:rPr>
                  <m:t>+</m:t>
                </m:r>
                <m:sSup>
                  <m:sSupPr>
                    <m:ctrlPr>
                      <w:rPr>
                        <w:rStyle w:val="katex-mathml"/>
                        <w:rFonts w:ascii="Cambria Math" w:hAnsi="Cambria Math" w:cs="Times New Roman"/>
                        <w:i/>
                      </w:rPr>
                    </m:ctrlPr>
                  </m:sSupPr>
                  <m:e>
                    <m:d>
                      <m:dPr>
                        <m:ctrlPr>
                          <w:rPr>
                            <w:rStyle w:val="katex-mathml"/>
                            <w:rFonts w:ascii="Cambria Math" w:hAnsi="Cambria Math" w:cs="Times New Roman"/>
                            <w:i/>
                          </w:rPr>
                        </m:ctrlPr>
                      </m:dPr>
                      <m:e>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fraktur"/>
                              </m:rPr>
                              <w:rPr>
                                <w:rStyle w:val="katex-mathml"/>
                                <w:rFonts w:ascii="Cambria Math" w:hAnsi="Cambria Math" w:cs="Times New Roman"/>
                              </w:rPr>
                              <m:t>I</m:t>
                            </m:r>
                          </m:sup>
                        </m:sSubSup>
                      </m:e>
                    </m:d>
                  </m:e>
                  <m:sup>
                    <m:r>
                      <w:rPr>
                        <w:rStyle w:val="katex-mathml"/>
                        <w:rFonts w:ascii="Cambria Math" w:hAnsi="Cambria Math" w:cs="Times New Roman"/>
                      </w:rPr>
                      <m:t>2</m:t>
                    </m:r>
                  </m:sup>
                </m:sSup>
              </m:e>
            </m:d>
          </m:e>
        </m:nary>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(S15)</w:t>
      </w:r>
    </w:p>
    <w:p w14:paraId="3573C1CB"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 xml:space="preserve">This formulation constrains both magnitude and phase simultaneously and prevents “phase-only” or “magnitude-only” overfitting. Because EIS errors are typically heteroscedastic across frequency (large </w:t>
      </w:r>
      <m:oMath>
        <m:r>
          <w:rPr>
            <w:rStyle w:val="katex-mathml"/>
            <w:rFonts w:ascii="Cambria Math" w:hAnsi="Cambria Math" w:cs="Times New Roman"/>
          </w:rPr>
          <m:t>|Z|</m:t>
        </m:r>
      </m:oMath>
      <w:r w:rsidRPr="001419A2">
        <w:rPr>
          <w:rFonts w:ascii="Times New Roman" w:hAnsi="Times New Roman" w:cs="Times New Roman"/>
        </w:rPr>
        <w:t xml:space="preserve"> at low </w:t>
      </w:r>
      <m:oMath>
        <m:r>
          <w:rPr>
            <w:rStyle w:val="katex-mathml"/>
            <w:rFonts w:ascii="Cambria Math" w:hAnsi="Cambria Math" w:cs="Times New Roman"/>
          </w:rPr>
          <m:t>f</m:t>
        </m:r>
      </m:oMath>
      <w:r w:rsidRPr="001419A2">
        <w:rPr>
          <w:rFonts w:ascii="Times New Roman" w:hAnsi="Times New Roman" w:cs="Times New Roman"/>
        </w:rPr>
        <w:t xml:space="preserve">, small </w:t>
      </w:r>
      <m:oMath>
        <m:r>
          <w:rPr>
            <w:rStyle w:val="katex-mathml"/>
            <w:rFonts w:ascii="Cambria Math" w:hAnsi="Cambria Math" w:cs="Times New Roman"/>
          </w:rPr>
          <m:t>|Z|</m:t>
        </m:r>
      </m:oMath>
      <w:r w:rsidRPr="001419A2">
        <w:rPr>
          <w:rFonts w:ascii="Times New Roman" w:hAnsi="Times New Roman" w:cs="Times New Roman"/>
        </w:rPr>
        <w:t xml:space="preserve"> at high </w:t>
      </w:r>
      <m:oMath>
        <m:r>
          <w:rPr>
            <w:rStyle w:val="katex-mathml"/>
            <w:rFonts w:ascii="Cambria Math" w:hAnsi="Cambria Math" w:cs="Times New Roman"/>
          </w:rPr>
          <m:t>f</m:t>
        </m:r>
      </m:oMath>
      <w:r w:rsidRPr="001419A2">
        <w:rPr>
          <w:rFonts w:ascii="Times New Roman" w:hAnsi="Times New Roman" w:cs="Times New Roman"/>
        </w:rPr>
        <w:t xml:space="preserve">), we also examine </w:t>
      </w:r>
      <w:r w:rsidRPr="001419A2">
        <w:rPr>
          <w:rStyle w:val="a4"/>
          <w:rFonts w:ascii="Times New Roman" w:hAnsi="Times New Roman" w:cs="Times New Roman"/>
        </w:rPr>
        <w:t>normalized residuals</w:t>
      </w:r>
      <w:r w:rsidRPr="001419A2">
        <w:rPr>
          <w:rFonts w:ascii="Times New Roman" w:hAnsi="Times New Roman" w:cs="Times New Roman"/>
        </w:rPr>
        <w:t>:</w:t>
      </w:r>
    </w:p>
    <w:p w14:paraId="34DE5553"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sSubSup>
          <m:sSubSupPr>
            <m:ctrlPr>
              <w:rPr>
                <w:rStyle w:val="katex-mathml"/>
                <w:rFonts w:ascii="Cambria Math" w:hAnsi="Cambria Math" w:cs="Times New Roman"/>
                <w:i/>
              </w:rPr>
            </m:ctrlPr>
          </m:sSubSupPr>
          <m:e>
            <m:acc>
              <m:accPr>
                <m:chr m:val="̃"/>
                <m:ctrlPr>
                  <w:rPr>
                    <w:rStyle w:val="katex-mathml"/>
                    <w:rFonts w:ascii="Cambria Math" w:hAnsi="Cambria Math" w:cs="Times New Roman"/>
                    <w:i/>
                  </w:rPr>
                </m:ctrlPr>
              </m:accPr>
              <m:e>
                <m:r>
                  <w:rPr>
                    <w:rStyle w:val="katex-mathml"/>
                    <w:rFonts w:ascii="Cambria Math" w:hAnsi="Cambria Math" w:cs="Times New Roman"/>
                  </w:rPr>
                  <m:t>r</m:t>
                </m:r>
              </m:e>
            </m:acc>
          </m:e>
          <m:sub>
            <m:r>
              <w:rPr>
                <w:rStyle w:val="katex-mathml"/>
                <w:rFonts w:ascii="Cambria Math" w:hAnsi="Cambria Math" w:cs="Times New Roman"/>
              </w:rPr>
              <m:t>k</m:t>
            </m:r>
          </m:sub>
          <m:sup>
            <m:r>
              <m:rPr>
                <m:scr m:val="fraktur"/>
              </m:rPr>
              <w:rPr>
                <w:rStyle w:val="katex-mathml"/>
                <w:rFonts w:ascii="Cambria Math" w:hAnsi="Cambria Math" w:cs="Times New Roman"/>
              </w:rPr>
              <m:t>R</m:t>
            </m:r>
          </m:sup>
        </m:sSubSup>
        <m:r>
          <w:rPr>
            <w:rStyle w:val="katex-mathml"/>
            <w:rFonts w:ascii="Cambria Math" w:hAnsi="Cambria Math" w:cs="Times New Roman"/>
          </w:rPr>
          <m:t>=</m:t>
        </m:r>
        <m:f>
          <m:fPr>
            <m:ctrlPr>
              <w:rPr>
                <w:rStyle w:val="katex-mathml"/>
                <w:rFonts w:ascii="Cambria Math" w:hAnsi="Cambria Math" w:cs="Times New Roman"/>
                <w:i/>
              </w:rPr>
            </m:ctrlPr>
          </m:fPr>
          <m:num>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fraktur"/>
                  </m:rPr>
                  <w:rPr>
                    <w:rStyle w:val="katex-mathml"/>
                    <w:rFonts w:ascii="Cambria Math" w:hAnsi="Cambria Math" w:cs="Times New Roman"/>
                  </w:rPr>
                  <m:t>R</m:t>
                </m:r>
              </m:sup>
            </m:sSubSup>
          </m:num>
          <m:den>
            <m:d>
              <m:dPr>
                <m:begChr m:val="|"/>
                <m:endChr m:val="|"/>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data</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e>
            </m:d>
          </m:den>
        </m:f>
        <m:r>
          <w:rPr>
            <w:rStyle w:val="katex-mathml"/>
            <w:rFonts w:ascii="Cambria Math" w:hAnsi="Cambria Math" w:cs="Times New Roman"/>
          </w:rPr>
          <m:t xml:space="preserve">,  </m:t>
        </m:r>
        <m:sSubSup>
          <m:sSubSupPr>
            <m:ctrlPr>
              <w:rPr>
                <w:rStyle w:val="katex-mathml"/>
                <w:rFonts w:ascii="Cambria Math" w:hAnsi="Cambria Math" w:cs="Times New Roman"/>
                <w:i/>
              </w:rPr>
            </m:ctrlPr>
          </m:sSubSupPr>
          <m:e>
            <m:acc>
              <m:accPr>
                <m:chr m:val="̃"/>
                <m:ctrlPr>
                  <w:rPr>
                    <w:rStyle w:val="katex-mathml"/>
                    <w:rFonts w:ascii="Cambria Math" w:hAnsi="Cambria Math" w:cs="Times New Roman"/>
                    <w:i/>
                  </w:rPr>
                </m:ctrlPr>
              </m:accPr>
              <m:e>
                <m:r>
                  <w:rPr>
                    <w:rStyle w:val="katex-mathml"/>
                    <w:rFonts w:ascii="Cambria Math" w:hAnsi="Cambria Math" w:cs="Times New Roman"/>
                  </w:rPr>
                  <m:t>r</m:t>
                </m:r>
              </m:e>
            </m:acc>
          </m:e>
          <m:sub>
            <m:r>
              <w:rPr>
                <w:rStyle w:val="katex-mathml"/>
                <w:rFonts w:ascii="Cambria Math" w:hAnsi="Cambria Math" w:cs="Times New Roman"/>
              </w:rPr>
              <m:t>k</m:t>
            </m:r>
          </m:sub>
          <m:sup>
            <m:r>
              <m:rPr>
                <m:scr m:val="fraktur"/>
              </m:rPr>
              <w:rPr>
                <w:rStyle w:val="katex-mathml"/>
                <w:rFonts w:ascii="Cambria Math" w:hAnsi="Cambria Math" w:cs="Times New Roman"/>
              </w:rPr>
              <m:t>I</m:t>
            </m:r>
          </m:sup>
        </m:sSubSup>
        <m:r>
          <w:rPr>
            <w:rStyle w:val="katex-mathml"/>
            <w:rFonts w:ascii="Cambria Math" w:hAnsi="Cambria Math" w:cs="Times New Roman"/>
          </w:rPr>
          <m:t>=</m:t>
        </m:r>
        <m:f>
          <m:fPr>
            <m:ctrlPr>
              <w:rPr>
                <w:rStyle w:val="katex-mathml"/>
                <w:rFonts w:ascii="Cambria Math" w:hAnsi="Cambria Math" w:cs="Times New Roman"/>
                <w:i/>
              </w:rPr>
            </m:ctrlPr>
          </m:fPr>
          <m:num>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k</m:t>
                </m:r>
              </m:sub>
              <m:sup>
                <m:r>
                  <m:rPr>
                    <m:scr m:val="fraktur"/>
                  </m:rPr>
                  <w:rPr>
                    <w:rStyle w:val="katex-mathml"/>
                    <w:rFonts w:ascii="Cambria Math" w:hAnsi="Cambria Math" w:cs="Times New Roman"/>
                  </w:rPr>
                  <m:t>I</m:t>
                </m:r>
              </m:sup>
            </m:sSubSup>
          </m:num>
          <m:den>
            <m:d>
              <m:dPr>
                <m:begChr m:val="|"/>
                <m:endChr m:val="|"/>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data</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e>
            </m:d>
          </m:den>
        </m:f>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(S16)</w:t>
      </w:r>
    </w:p>
    <w:p w14:paraId="507C1D0E"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 xml:space="preserve">These dimensionless quantities are used to diagnose whether the fit error is dominated by specific frequency decades (e.g., inductive region, charge-transfer arc, or low-frequency dispersive tail), and to make </w:t>
      </w:r>
      <m:oMath>
        <m:r>
          <m:rPr>
            <m:scr m:val="fraktur"/>
          </m:rPr>
          <w:rPr>
            <w:rFonts w:ascii="Cambria Math" w:hAnsi="Cambria Math" w:cs="Times New Roman"/>
          </w:rPr>
          <m:t>R</m:t>
        </m:r>
        <m:r>
          <w:rPr>
            <w:rFonts w:ascii="Cambria Math" w:hAnsi="Cambria Math" w:cs="Times New Roman"/>
          </w:rPr>
          <m:t>e</m:t>
        </m:r>
        <m:r>
          <m:rPr>
            <m:scr m:val="fraktur"/>
          </m:rPr>
          <w:rPr>
            <w:rFonts w:ascii="Cambria Math" w:hAnsi="Cambria Math" w:cs="Times New Roman"/>
          </w:rPr>
          <m:t>/I</m:t>
        </m:r>
        <m:r>
          <w:rPr>
            <w:rFonts w:ascii="Cambria Math" w:hAnsi="Cambria Math" w:cs="Times New Roman"/>
          </w:rPr>
          <m:t>m</m:t>
        </m:r>
      </m:oMath>
      <w:r w:rsidRPr="001419A2">
        <w:rPr>
          <w:rFonts w:ascii="Times New Roman" w:hAnsi="Times New Roman" w:cs="Times New Roman"/>
        </w:rPr>
        <w:t xml:space="preserve"> residuals directly comparable even when the impedance magnitude spans orders of magnitude. In practice, an acceptable model exhibits (i) residuals centered near zero, (ii) no systematic drift versus frequency, and (iii) comparable scatter in </w:t>
      </w:r>
      <m:oMath>
        <m:r>
          <m:rPr>
            <m:scr m:val="fraktur"/>
          </m:rPr>
          <w:rPr>
            <w:rFonts w:ascii="Cambria Math" w:hAnsi="Cambria Math" w:cs="Times New Roman"/>
          </w:rPr>
          <m:t>R</m:t>
        </m:r>
        <m:r>
          <w:rPr>
            <w:rFonts w:ascii="Cambria Math" w:hAnsi="Cambria Math" w:cs="Times New Roman"/>
          </w:rPr>
          <m:t>e</m:t>
        </m:r>
      </m:oMath>
      <w:r w:rsidRPr="001419A2">
        <w:rPr>
          <w:rFonts w:ascii="Times New Roman" w:hAnsi="Times New Roman" w:cs="Times New Roman"/>
        </w:rPr>
        <w:t xml:space="preserve"> and </w:t>
      </w:r>
      <m:oMath>
        <m:r>
          <m:rPr>
            <m:scr m:val="fraktur"/>
          </m:rPr>
          <w:rPr>
            <w:rFonts w:ascii="Cambria Math" w:hAnsi="Cambria Math" w:cs="Times New Roman"/>
          </w:rPr>
          <m:t>I</m:t>
        </m:r>
        <m:r>
          <w:rPr>
            <w:rFonts w:ascii="Cambria Math" w:hAnsi="Cambria Math" w:cs="Times New Roman"/>
          </w:rPr>
          <m:t>m</m:t>
        </m:r>
      </m:oMath>
      <w:r w:rsidRPr="001419A2">
        <w:rPr>
          <w:rFonts w:ascii="Times New Roman" w:hAnsi="Times New Roman" w:cs="Times New Roman"/>
        </w:rPr>
        <w:t xml:space="preserve"> components once normalized. Persistent sign patterns (e.g., </w:t>
      </w:r>
      <m:oMath>
        <m:r>
          <m:rPr>
            <m:scr m:val="fraktur"/>
          </m:rPr>
          <w:rPr>
            <w:rFonts w:ascii="Cambria Math" w:hAnsi="Cambria Math" w:cs="Times New Roman"/>
          </w:rPr>
          <m:t>R</m:t>
        </m:r>
        <m:r>
          <w:rPr>
            <w:rFonts w:ascii="Cambria Math" w:hAnsi="Cambria Math" w:cs="Times New Roman"/>
          </w:rPr>
          <m:t>e</m:t>
        </m:r>
      </m:oMath>
      <w:r w:rsidRPr="001419A2">
        <w:rPr>
          <w:rFonts w:ascii="Times New Roman" w:hAnsi="Times New Roman" w:cs="Times New Roman"/>
        </w:rPr>
        <w:t xml:space="preserve"> residuals positive across a whole decade) indicate structural mismatch rather than noise, suggesting missing physics (additional RC branch, Warbu</w:t>
      </w:r>
      <w:proofErr w:type="spellStart"/>
      <w:r w:rsidRPr="001419A2">
        <w:rPr>
          <w:rFonts w:ascii="Times New Roman" w:hAnsi="Times New Roman" w:cs="Times New Roman"/>
        </w:rPr>
        <w:t>rg</w:t>
      </w:r>
      <w:proofErr w:type="spellEnd"/>
      <w:r w:rsidRPr="001419A2">
        <w:rPr>
          <w:rFonts w:ascii="Times New Roman" w:hAnsi="Times New Roman" w:cs="Times New Roman"/>
        </w:rPr>
        <w:t>-like diffusion, or an over-constrained dispersion exponent).</w:t>
      </w:r>
    </w:p>
    <w:p w14:paraId="44737C00"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 xml:space="preserve">To evaluate distributional assumptions, we report residual histograms and Q–Q diagnostics separately for </w:t>
      </w:r>
      <m:oMath>
        <m:sSup>
          <m:sSupPr>
            <m:ctrlPr>
              <w:rPr>
                <w:rStyle w:val="katex-mathml"/>
                <w:rFonts w:ascii="Cambria Math" w:hAnsi="Cambria Math" w:cs="Times New Roman"/>
                <w:i/>
              </w:rPr>
            </m:ctrlPr>
          </m:sSupPr>
          <m:e>
            <m:acc>
              <m:accPr>
                <m:chr m:val="̃"/>
                <m:ctrlPr>
                  <w:rPr>
                    <w:rStyle w:val="katex-mathml"/>
                    <w:rFonts w:ascii="Cambria Math" w:hAnsi="Cambria Math" w:cs="Times New Roman"/>
                    <w:i/>
                  </w:rPr>
                </m:ctrlPr>
              </m:accPr>
              <m:e>
                <m:r>
                  <w:rPr>
                    <w:rStyle w:val="katex-mathml"/>
                    <w:rFonts w:ascii="Cambria Math" w:hAnsi="Cambria Math" w:cs="Times New Roman"/>
                  </w:rPr>
                  <m:t>r</m:t>
                </m:r>
              </m:e>
            </m:acc>
          </m:e>
          <m:sup>
            <m:r>
              <m:rPr>
                <m:scr m:val="fraktur"/>
              </m:rPr>
              <w:rPr>
                <w:rStyle w:val="katex-mathml"/>
                <w:rFonts w:ascii="Cambria Math" w:hAnsi="Cambria Math" w:cs="Times New Roman"/>
              </w:rPr>
              <m:t>R</m:t>
            </m:r>
          </m:sup>
        </m:sSup>
      </m:oMath>
      <w:r w:rsidRPr="001419A2">
        <w:rPr>
          <w:rFonts w:ascii="Times New Roman" w:hAnsi="Times New Roman" w:cs="Times New Roman"/>
        </w:rPr>
        <w:t xml:space="preserve"> and </w:t>
      </w:r>
      <m:oMath>
        <m:sSup>
          <m:sSupPr>
            <m:ctrlPr>
              <w:rPr>
                <w:rStyle w:val="katex-mathml"/>
                <w:rFonts w:ascii="Cambria Math" w:hAnsi="Cambria Math" w:cs="Times New Roman"/>
                <w:i/>
              </w:rPr>
            </m:ctrlPr>
          </m:sSupPr>
          <m:e>
            <m:acc>
              <m:accPr>
                <m:chr m:val="̃"/>
                <m:ctrlPr>
                  <w:rPr>
                    <w:rStyle w:val="katex-mathml"/>
                    <w:rFonts w:ascii="Cambria Math" w:hAnsi="Cambria Math" w:cs="Times New Roman"/>
                    <w:i/>
                  </w:rPr>
                </m:ctrlPr>
              </m:accPr>
              <m:e>
                <m:r>
                  <w:rPr>
                    <w:rStyle w:val="katex-mathml"/>
                    <w:rFonts w:ascii="Cambria Math" w:hAnsi="Cambria Math" w:cs="Times New Roman"/>
                  </w:rPr>
                  <m:t>r</m:t>
                </m:r>
              </m:e>
            </m:acc>
          </m:e>
          <m:sup>
            <m:r>
              <m:rPr>
                <m:scr m:val="fraktur"/>
              </m:rPr>
              <w:rPr>
                <w:rStyle w:val="katex-mathml"/>
                <w:rFonts w:ascii="Cambria Math" w:hAnsi="Cambria Math" w:cs="Times New Roman"/>
              </w:rPr>
              <m:t>I</m:t>
            </m:r>
          </m:sup>
        </m:sSup>
      </m:oMath>
      <w:r w:rsidRPr="001419A2">
        <w:rPr>
          <w:rFonts w:ascii="Times New Roman" w:hAnsi="Times New Roman" w:cs="Times New Roman"/>
        </w:rPr>
        <w:t>. If the residuals were purely i.i.d. Gaussian, the Q–Q points would align w</w:t>
      </w:r>
      <w:proofErr w:type="spellStart"/>
      <w:r w:rsidRPr="001419A2">
        <w:rPr>
          <w:rFonts w:ascii="Times New Roman" w:hAnsi="Times New Roman" w:cs="Times New Roman"/>
        </w:rPr>
        <w:t>ith</w:t>
      </w:r>
      <w:proofErr w:type="spellEnd"/>
      <w:r w:rsidRPr="001419A2">
        <w:rPr>
          <w:rFonts w:ascii="Times New Roman" w:hAnsi="Times New Roman" w:cs="Times New Roman"/>
        </w:rPr>
        <w:t xml:space="preserve"> the best-fit reference line. Deviations at the tails suggest outliers or non-Gaussian noise (common </w:t>
      </w:r>
      <w:r w:rsidRPr="001419A2">
        <w:rPr>
          <w:rFonts w:ascii="Times New Roman" w:hAnsi="Times New Roman" w:cs="Times New Roman"/>
        </w:rPr>
        <w:lastRenderedPageBreak/>
        <w:t xml:space="preserve">in low-frequency EIS), while curvature across the full range suggests a frequency-dependent variance or unmodeled correlation. In addition, the parity plots (fit vs data for </w:t>
      </w:r>
      <m:oMath>
        <m:r>
          <m:rPr>
            <m:scr m:val="fraktur"/>
          </m:rPr>
          <w:rPr>
            <w:rFonts w:ascii="Cambria Math" w:hAnsi="Cambria Math" w:cs="Times New Roman"/>
          </w:rPr>
          <m:t>R</m:t>
        </m:r>
        <m:r>
          <w:rPr>
            <w:rFonts w:ascii="Cambria Math" w:hAnsi="Cambria Math" w:cs="Times New Roman"/>
          </w:rPr>
          <m:t>e</m:t>
        </m:r>
      </m:oMath>
      <w:r w:rsidRPr="001419A2">
        <w:rPr>
          <w:rFonts w:ascii="Times New Roman" w:hAnsi="Times New Roman" w:cs="Times New Roman"/>
        </w:rPr>
        <w:t xml:space="preserve"> and </w:t>
      </w:r>
      <m:oMath>
        <m:r>
          <m:rPr>
            <m:scr m:val="fraktur"/>
          </m:rPr>
          <w:rPr>
            <w:rFonts w:ascii="Cambria Math" w:hAnsi="Cambria Math" w:cs="Times New Roman"/>
          </w:rPr>
          <m:t>-I</m:t>
        </m:r>
        <m:r>
          <w:rPr>
            <w:rFonts w:ascii="Cambria Math" w:hAnsi="Cambria Math" w:cs="Times New Roman"/>
          </w:rPr>
          <m:t>m</m:t>
        </m:r>
      </m:oMath>
      <w:r w:rsidRPr="001419A2">
        <w:rPr>
          <w:rFonts w:ascii="Times New Roman" w:hAnsi="Times New Roman" w:cs="Times New Roman"/>
        </w:rPr>
        <w:t>) provide a global linearity check; curvature away from the diagonal indicates systematic misfit in specific impedance regimes.</w:t>
      </w:r>
    </w:p>
    <w:p w14:paraId="1D68E4A5"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Error propagation into parameter uncertainty is treated via a local linearization of the complex residual vector. Let the stacked residual vector be</w:t>
      </w:r>
    </w:p>
    <w:p w14:paraId="5C183CD8"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r>
          <w:rPr>
            <w:rStyle w:val="katex-mathml"/>
            <w:rFonts w:ascii="Cambria Math" w:hAnsi="Cambria Math" w:cs="Times New Roman"/>
          </w:rPr>
          <m:t>r(θ)=</m:t>
        </m:r>
        <m:sSup>
          <m:sSupPr>
            <m:ctrlPr>
              <w:rPr>
                <w:rStyle w:val="katex-mathml"/>
                <w:rFonts w:ascii="Cambria Math" w:hAnsi="Cambria Math" w:cs="Times New Roman"/>
                <w:i/>
              </w:rPr>
            </m:ctrlPr>
          </m:sSupPr>
          <m:e>
            <m:r>
              <w:rPr>
                <w:rStyle w:val="katex-mathml"/>
                <w:rFonts w:ascii="Cambria Math" w:hAnsi="Cambria Math" w:cs="Times New Roman"/>
              </w:rPr>
              <m:t>[</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1</m:t>
                </m:r>
              </m:sub>
              <m:sup>
                <m:r>
                  <m:rPr>
                    <m:scr m:val="fraktur"/>
                  </m:rPr>
                  <w:rPr>
                    <w:rStyle w:val="katex-mathml"/>
                    <w:rFonts w:ascii="Cambria Math" w:hAnsi="Cambria Math" w:cs="Times New Roman"/>
                  </w:rPr>
                  <m:t>R</m:t>
                </m:r>
              </m:sup>
            </m:sSubSup>
            <m:r>
              <w:rPr>
                <w:rStyle w:val="katex-mathml"/>
                <w:rFonts w:ascii="Cambria Math" w:hAnsi="Cambria Math" w:cs="Cambria Math"/>
              </w:rPr>
              <m:t>⋯</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N</m:t>
                </m:r>
              </m:sub>
              <m:sup>
                <m:r>
                  <m:rPr>
                    <m:scr m:val="fraktur"/>
                  </m:rPr>
                  <w:rPr>
                    <w:rStyle w:val="katex-mathml"/>
                    <w:rFonts w:ascii="Cambria Math" w:hAnsi="Cambria Math" w:cs="Times New Roman"/>
                  </w:rPr>
                  <m:t>R</m:t>
                </m:r>
              </m:sup>
            </m:sSubSup>
            <m:r>
              <w:rPr>
                <w:rStyle w:val="katex-mathml"/>
                <w:rFonts w:ascii="Cambria Math" w:hAnsi="Cambria Math" w:cs="Times New Roman"/>
              </w:rPr>
              <m:t xml:space="preserve">, </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1</m:t>
                </m:r>
              </m:sub>
              <m:sup>
                <m:r>
                  <m:rPr>
                    <m:scr m:val="fraktur"/>
                  </m:rPr>
                  <w:rPr>
                    <w:rStyle w:val="katex-mathml"/>
                    <w:rFonts w:ascii="Cambria Math" w:hAnsi="Cambria Math" w:cs="Times New Roman"/>
                  </w:rPr>
                  <m:t>I</m:t>
                </m:r>
              </m:sup>
            </m:sSubSup>
            <m:r>
              <w:rPr>
                <w:rStyle w:val="katex-mathml"/>
                <w:rFonts w:ascii="Cambria Math" w:hAnsi="Cambria Math" w:cs="Cambria Math"/>
              </w:rPr>
              <m:t>⋯</m:t>
            </m:r>
            <m:sSubSup>
              <m:sSubSupPr>
                <m:ctrlPr>
                  <w:rPr>
                    <w:rStyle w:val="katex-mathml"/>
                    <w:rFonts w:ascii="Cambria Math" w:hAnsi="Cambria Math" w:cs="Times New Roman"/>
                    <w:i/>
                  </w:rPr>
                </m:ctrlPr>
              </m:sSubSupPr>
              <m:e>
                <m:r>
                  <w:rPr>
                    <w:rStyle w:val="katex-mathml"/>
                    <w:rFonts w:ascii="Cambria Math" w:hAnsi="Cambria Math" w:cs="Times New Roman"/>
                  </w:rPr>
                  <m:t>r</m:t>
                </m:r>
              </m:e>
              <m:sub>
                <m:r>
                  <w:rPr>
                    <w:rStyle w:val="katex-mathml"/>
                    <w:rFonts w:ascii="Cambria Math" w:hAnsi="Cambria Math" w:cs="Times New Roman"/>
                  </w:rPr>
                  <m:t>N</m:t>
                </m:r>
              </m:sub>
              <m:sup>
                <m:r>
                  <m:rPr>
                    <m:scr m:val="fraktur"/>
                  </m:rPr>
                  <w:rPr>
                    <w:rStyle w:val="katex-mathml"/>
                    <w:rFonts w:ascii="Cambria Math" w:hAnsi="Cambria Math" w:cs="Times New Roman"/>
                  </w:rPr>
                  <m:t>I</m:t>
                </m:r>
              </m:sup>
            </m:sSubSup>
            <m:r>
              <w:rPr>
                <w:rStyle w:val="katex-mathml"/>
                <w:rFonts w:ascii="Cambria Math" w:hAnsi="Cambria Math" w:cs="Times New Roman"/>
              </w:rPr>
              <m:t>]</m:t>
            </m:r>
          </m:e>
          <m:sup>
            <m:r>
              <w:rPr>
                <w:rStyle w:val="katex-mathml"/>
                <w:rFonts w:ascii="Cambria Math" w:hAnsi="Cambria Math" w:cs="Cambria Math"/>
              </w:rPr>
              <m:t>⊤</m:t>
            </m:r>
          </m:sup>
        </m:sSup>
        <m:r>
          <w:rPr>
            <w:rStyle w:val="katex-mathml"/>
            <w:rFonts w:ascii="Cambria Math" w:hAnsi="Cambria Math" w:cs="Times New Roman"/>
          </w:rPr>
          <m:t>∈</m:t>
        </m:r>
        <m:sSup>
          <m:sSupPr>
            <m:ctrlPr>
              <w:rPr>
                <w:rStyle w:val="katex-mathml"/>
                <w:rFonts w:ascii="Cambria Math" w:hAnsi="Cambria Math" w:cs="Times New Roman"/>
                <w:i/>
              </w:rPr>
            </m:ctrlPr>
          </m:sSupPr>
          <m:e>
            <m:r>
              <m:rPr>
                <m:scr m:val="double-struck"/>
              </m:rPr>
              <w:rPr>
                <w:rStyle w:val="katex-mathml"/>
                <w:rFonts w:ascii="Cambria Math" w:hAnsi="Cambria Math" w:cs="Times New Roman"/>
              </w:rPr>
              <m:t>R</m:t>
            </m:r>
          </m:e>
          <m:sup>
            <m:r>
              <w:rPr>
                <w:rStyle w:val="katex-mathml"/>
                <w:rFonts w:ascii="Cambria Math" w:hAnsi="Cambria Math" w:cs="Times New Roman"/>
              </w:rPr>
              <m:t>2N</m:t>
            </m:r>
          </m:sup>
        </m:sSup>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(S17)</w:t>
      </w:r>
    </w:p>
    <w:p w14:paraId="28E31F6F" w14:textId="77777777" w:rsidR="00E33E28" w:rsidRPr="001419A2"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and define the Jacobian</w:t>
      </w:r>
    </w:p>
    <w:p w14:paraId="2C39AD8E"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r>
          <m:rPr>
            <m:sty m:val="b"/>
          </m:rPr>
          <w:rPr>
            <w:rStyle w:val="katex-mathml"/>
            <w:rFonts w:ascii="Cambria Math" w:hAnsi="Cambria Math" w:cs="Times New Roman"/>
          </w:rPr>
          <m:t>J</m:t>
        </m:r>
        <m:r>
          <w:rPr>
            <w:rStyle w:val="katex-mathml"/>
            <w:rFonts w:ascii="Cambria Math" w:hAnsi="Cambria Math" w:cs="Times New Roman"/>
          </w:rPr>
          <m:t>(θ)=</m:t>
        </m:r>
        <m:f>
          <m:fPr>
            <m:ctrlPr>
              <w:rPr>
                <w:rStyle w:val="katex-mathml"/>
                <w:rFonts w:ascii="Cambria Math" w:hAnsi="Cambria Math" w:cs="Times New Roman"/>
                <w:i/>
              </w:rPr>
            </m:ctrlPr>
          </m:fPr>
          <m:num>
            <m:r>
              <w:rPr>
                <w:rStyle w:val="katex-mathml"/>
                <w:rFonts w:ascii="Cambria Math" w:hAnsi="Cambria Math" w:cs="Times New Roman"/>
              </w:rPr>
              <m:t>∂</m:t>
            </m:r>
            <m:r>
              <m:rPr>
                <m:sty m:val="bi"/>
              </m:rPr>
              <w:rPr>
                <w:rStyle w:val="katex-mathml"/>
                <w:rFonts w:ascii="Cambria Math" w:hAnsi="Cambria Math" w:cs="Times New Roman"/>
              </w:rPr>
              <m:t>r</m:t>
            </m:r>
          </m:num>
          <m:den>
            <m:r>
              <w:rPr>
                <w:rStyle w:val="katex-mathml"/>
                <w:rFonts w:ascii="Cambria Math" w:hAnsi="Cambria Math" w:cs="Times New Roman"/>
              </w:rPr>
              <m:t>∂θ</m:t>
            </m:r>
          </m:den>
        </m:f>
        <m:r>
          <w:rPr>
            <w:rStyle w:val="katex-mathml"/>
            <w:rFonts w:ascii="Cambria Math" w:hAnsi="Cambria Math" w:cs="Times New Roman"/>
          </w:rPr>
          <m:t>∈</m:t>
        </m:r>
        <m:sSup>
          <m:sSupPr>
            <m:ctrlPr>
              <w:rPr>
                <w:rStyle w:val="katex-mathml"/>
                <w:rFonts w:ascii="Cambria Math" w:hAnsi="Cambria Math" w:cs="Times New Roman"/>
                <w:i/>
              </w:rPr>
            </m:ctrlPr>
          </m:sSupPr>
          <m:e>
            <m:r>
              <m:rPr>
                <m:scr m:val="double-struck"/>
              </m:rPr>
              <w:rPr>
                <w:rStyle w:val="katex-mathml"/>
                <w:rFonts w:ascii="Cambria Math" w:hAnsi="Cambria Math" w:cs="Times New Roman"/>
              </w:rPr>
              <m:t>R</m:t>
            </m:r>
          </m:e>
          <m:sup>
            <m:r>
              <w:rPr>
                <w:rStyle w:val="katex-mathml"/>
                <w:rFonts w:ascii="Cambria Math" w:hAnsi="Cambria Math" w:cs="Times New Roman"/>
              </w:rPr>
              <m:t>2N×7</m:t>
            </m:r>
          </m:sup>
        </m:sSup>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(S18)</w:t>
      </w:r>
    </w:p>
    <w:p w14:paraId="3BC3FE52" w14:textId="77777777" w:rsidR="00E33E28" w:rsidRPr="001419A2"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 xml:space="preserve">which can be estimated numerically by finite differences around the optimum </w:t>
      </w:r>
      <m:oMath>
        <m:acc>
          <m:accPr>
            <m:ctrlPr>
              <w:rPr>
                <w:rStyle w:val="katex-mathml"/>
                <w:rFonts w:ascii="Cambria Math" w:hAnsi="Cambria Math" w:cs="Times New Roman"/>
                <w:i/>
              </w:rPr>
            </m:ctrlPr>
          </m:accPr>
          <m:e>
            <m:r>
              <w:rPr>
                <w:rStyle w:val="katex-mathml"/>
                <w:rFonts w:ascii="Cambria Math" w:hAnsi="Cambria Math" w:cs="Times New Roman"/>
              </w:rPr>
              <m:t>θ</m:t>
            </m:r>
          </m:e>
        </m:acc>
      </m:oMath>
      <w:r w:rsidRPr="001419A2">
        <w:rPr>
          <w:rFonts w:ascii="Times New Roman" w:hAnsi="Times New Roman" w:cs="Times New Roman"/>
        </w:rPr>
        <w:t>. Under the standard least-squares approximation, the parameter covariance is</w:t>
      </w:r>
    </w:p>
    <w:p w14:paraId="6900728B"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r>
          <w:rPr>
            <w:rStyle w:val="katex-mathml"/>
            <w:rFonts w:ascii="Cambria Math" w:hAnsi="Cambria Math" w:cs="Times New Roman"/>
          </w:rPr>
          <m:t>Cov(</m:t>
        </m:r>
        <m:acc>
          <m:accPr>
            <m:ctrlPr>
              <w:rPr>
                <w:rStyle w:val="katex-mathml"/>
                <w:rFonts w:ascii="Cambria Math" w:hAnsi="Cambria Math" w:cs="Times New Roman"/>
                <w:i/>
              </w:rPr>
            </m:ctrlPr>
          </m:accPr>
          <m:e>
            <m:r>
              <w:rPr>
                <w:rStyle w:val="katex-mathml"/>
                <w:rFonts w:ascii="Cambria Math" w:hAnsi="Cambria Math" w:cs="Times New Roman"/>
              </w:rPr>
              <m:t>θ</m:t>
            </m:r>
          </m:e>
        </m:acc>
        <m:r>
          <w:rPr>
            <w:rStyle w:val="katex-mathml"/>
            <w:rFonts w:ascii="Cambria Math" w:hAnsi="Cambria Math" w:cs="Times New Roman"/>
          </w:rPr>
          <m:t>)≈</m:t>
        </m:r>
        <m:sSup>
          <m:sSupPr>
            <m:ctrlPr>
              <w:rPr>
                <w:rStyle w:val="katex-mathml"/>
                <w:rFonts w:ascii="Cambria Math" w:hAnsi="Cambria Math" w:cs="Times New Roman"/>
                <w:i/>
              </w:rPr>
            </m:ctrlPr>
          </m:sSupPr>
          <m:e>
            <m:r>
              <w:rPr>
                <w:rStyle w:val="katex-mathml"/>
                <w:rFonts w:ascii="Cambria Math" w:hAnsi="Cambria Math" w:cs="Times New Roman"/>
              </w:rPr>
              <m:t>σ</m:t>
            </m:r>
          </m:e>
          <m:sup>
            <m:r>
              <w:rPr>
                <w:rStyle w:val="katex-mathml"/>
                <w:rFonts w:ascii="Cambria Math" w:hAnsi="Cambria Math" w:cs="Times New Roman"/>
              </w:rPr>
              <m:t>2</m:t>
            </m:r>
          </m:sup>
        </m:sSup>
        <m:sSup>
          <m:sSupPr>
            <m:ctrlPr>
              <w:rPr>
                <w:rStyle w:val="katex-mathml"/>
                <w:rFonts w:ascii="Cambria Math" w:hAnsi="Cambria Math" w:cs="Times New Roman"/>
                <w:i/>
              </w:rPr>
            </m:ctrlPr>
          </m:sSupPr>
          <m:e>
            <m:d>
              <m:dPr>
                <m:ctrlPr>
                  <w:rPr>
                    <w:rStyle w:val="katex-mathml"/>
                    <w:rFonts w:ascii="Cambria Math" w:hAnsi="Cambria Math" w:cs="Times New Roman"/>
                    <w:i/>
                  </w:rPr>
                </m:ctrlPr>
              </m:dPr>
              <m:e>
                <m:sSup>
                  <m:sSupPr>
                    <m:ctrlPr>
                      <w:rPr>
                        <w:rStyle w:val="katex-mathml"/>
                        <w:rFonts w:ascii="Cambria Math" w:hAnsi="Cambria Math" w:cs="Times New Roman"/>
                        <w:b/>
                        <w:bCs/>
                        <w:iCs/>
                      </w:rPr>
                    </m:ctrlPr>
                  </m:sSupPr>
                  <m:e>
                    <m:r>
                      <m:rPr>
                        <m:sty m:val="b"/>
                      </m:rPr>
                      <w:rPr>
                        <w:rStyle w:val="katex-mathml"/>
                        <w:rFonts w:ascii="Cambria Math" w:hAnsi="Cambria Math" w:cs="Times New Roman"/>
                      </w:rPr>
                      <m:t>J</m:t>
                    </m:r>
                  </m:e>
                  <m:sup>
                    <m:r>
                      <w:rPr>
                        <w:rStyle w:val="katex-mathml"/>
                        <w:rFonts w:ascii="Cambria Math" w:hAnsi="Cambria Math" w:cs="Cambria Math"/>
                      </w:rPr>
                      <m:t>⊤</m:t>
                    </m:r>
                  </m:sup>
                </m:sSup>
                <m:r>
                  <m:rPr>
                    <m:sty m:val="b"/>
                  </m:rPr>
                  <w:rPr>
                    <w:rStyle w:val="katex-mathml"/>
                    <w:rFonts w:ascii="Cambria Math" w:hAnsi="Cambria Math" w:cs="Times New Roman"/>
                  </w:rPr>
                  <m:t>WJ</m:t>
                </m:r>
              </m:e>
            </m:d>
          </m:e>
          <m:sup>
            <m:r>
              <w:rPr>
                <w:rStyle w:val="katex-mathml"/>
                <w:rFonts w:ascii="Cambria Math" w:hAnsi="Cambria Math" w:cs="Times New Roman"/>
              </w:rPr>
              <m:t>-1</m:t>
            </m:r>
          </m:sup>
        </m:sSup>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(S19)</w:t>
      </w:r>
    </w:p>
    <w:p w14:paraId="513727C5" w14:textId="77777777" w:rsidR="00E33E28" w:rsidRPr="001419A2"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 xml:space="preserve">where </w:t>
      </w:r>
      <m:oMath>
        <m:r>
          <m:rPr>
            <m:sty m:val="b"/>
          </m:rPr>
          <w:rPr>
            <w:rStyle w:val="katex-mathml"/>
            <w:rFonts w:ascii="Cambria Math" w:hAnsi="Cambria Math" w:cs="Times New Roman"/>
          </w:rPr>
          <m:t>W</m:t>
        </m:r>
      </m:oMath>
      <w:r w:rsidRPr="001419A2">
        <w:rPr>
          <w:rFonts w:ascii="Times New Roman" w:hAnsi="Times New Roman" w:cs="Times New Roman"/>
        </w:rPr>
        <w:t xml:space="preserve"> is a weighting matrix (identity for unweighted SSE; dia</w:t>
      </w:r>
      <w:proofErr w:type="spellStart"/>
      <w:r w:rsidRPr="001419A2">
        <w:rPr>
          <w:rFonts w:ascii="Times New Roman" w:hAnsi="Times New Roman" w:cs="Times New Roman"/>
        </w:rPr>
        <w:t>gonal</w:t>
      </w:r>
      <w:proofErr w:type="spellEnd"/>
      <w:r w:rsidRPr="001419A2">
        <w:rPr>
          <w:rFonts w:ascii="Times New Roman" w:hAnsi="Times New Roman" w:cs="Times New Roman"/>
        </w:rPr>
        <w:t xml:space="preserve"> weights </w:t>
      </w:r>
      <m:oMath>
        <m:r>
          <w:rPr>
            <w:rStyle w:val="katex-mathml"/>
            <w:rFonts w:ascii="Cambria Math" w:hAnsi="Cambria Math" w:cs="Cambria Math"/>
          </w:rPr>
          <m:t>∝</m:t>
        </m:r>
        <m:r>
          <w:rPr>
            <w:rStyle w:val="katex-mathml"/>
            <w:rFonts w:ascii="Cambria Math" w:hAnsi="Cambria Math" w:cs="Times New Roman"/>
          </w:rPr>
          <m:t>1/</m:t>
        </m:r>
        <m:sSup>
          <m:sSupPr>
            <m:ctrlPr>
              <w:rPr>
                <w:rStyle w:val="katex-mathml"/>
                <w:rFonts w:ascii="Cambria Math" w:hAnsi="Cambria Math" w:cs="Cambria Math"/>
                <w:i/>
              </w:rPr>
            </m:ctrlPr>
          </m:sSupPr>
          <m:e>
            <m:r>
              <w:rPr>
                <w:rStyle w:val="katex-mathml"/>
                <w:rFonts w:ascii="Cambria Math" w:hAnsi="Cambria Math" w:cs="Cambria Math"/>
              </w:rPr>
              <m:t>∣</m:t>
            </m:r>
            <m:r>
              <w:rPr>
                <w:rStyle w:val="katex-mathml"/>
                <w:rFonts w:ascii="Cambria Math" w:hAnsi="Cambria Math" w:cs="Times New Roman"/>
              </w:rPr>
              <m:t>Z</m:t>
            </m:r>
            <m:r>
              <w:rPr>
                <w:rStyle w:val="katex-mathml"/>
                <w:rFonts w:ascii="Cambria Math" w:hAnsi="Cambria Math" w:cs="Cambria Math"/>
              </w:rPr>
              <m:t>∣</m:t>
            </m:r>
          </m:e>
          <m:sup>
            <m:r>
              <w:rPr>
                <w:rStyle w:val="katex-mathml"/>
                <w:rFonts w:ascii="Cambria Math" w:hAnsi="Cambria Math" w:cs="Cambria Math"/>
              </w:rPr>
              <m:t>2</m:t>
            </m:r>
          </m:sup>
        </m:sSup>
      </m:oMath>
      <w:r w:rsidRPr="001419A2">
        <w:rPr>
          <w:rFonts w:ascii="Times New Roman" w:hAnsi="Times New Roman" w:cs="Times New Roman"/>
        </w:rPr>
        <w:t xml:space="preserve"> for magnitude-normalized fitting), and </w:t>
      </w:r>
      <m:oMath>
        <m:sSup>
          <m:sSupPr>
            <m:ctrlPr>
              <w:rPr>
                <w:rStyle w:val="katex-mathml"/>
                <w:rFonts w:ascii="Cambria Math" w:hAnsi="Cambria Math" w:cs="Times New Roman"/>
                <w:i/>
              </w:rPr>
            </m:ctrlPr>
          </m:sSupPr>
          <m:e>
            <m:r>
              <w:rPr>
                <w:rStyle w:val="katex-mathml"/>
                <w:rFonts w:ascii="Cambria Math" w:hAnsi="Cambria Math" w:cs="Times New Roman"/>
              </w:rPr>
              <m:t>σ</m:t>
            </m:r>
          </m:e>
          <m:sup>
            <m:r>
              <w:rPr>
                <w:rStyle w:val="katex-mathml"/>
                <w:rFonts w:ascii="Cambria Math" w:hAnsi="Cambria Math" w:cs="Times New Roman"/>
              </w:rPr>
              <m:t>2</m:t>
            </m:r>
          </m:sup>
        </m:sSup>
      </m:oMath>
      <w:r w:rsidRPr="001419A2">
        <w:rPr>
          <w:rFonts w:ascii="Times New Roman" w:hAnsi="Times New Roman" w:cs="Times New Roman"/>
        </w:rPr>
        <w:t xml:space="preserve"> is an effective noise variance estimated from the residual energy:</w:t>
      </w:r>
    </w:p>
    <w:p w14:paraId="4BFD9246"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sSup>
          <m:sSupPr>
            <m:ctrlPr>
              <w:rPr>
                <w:rStyle w:val="katex-mathml"/>
                <w:rFonts w:ascii="Cambria Math" w:hAnsi="Cambria Math" w:cs="Times New Roman"/>
                <w:i/>
              </w:rPr>
            </m:ctrlPr>
          </m:sSupPr>
          <m:e>
            <m:r>
              <w:rPr>
                <w:rStyle w:val="katex-mathml"/>
                <w:rFonts w:ascii="Cambria Math" w:hAnsi="Cambria Math" w:cs="Times New Roman"/>
              </w:rPr>
              <m:t>σ</m:t>
            </m:r>
          </m:e>
          <m:sup>
            <m:r>
              <w:rPr>
                <w:rStyle w:val="katex-mathml"/>
                <w:rFonts w:ascii="Cambria Math" w:hAnsi="Cambria Math" w:cs="Times New Roman"/>
              </w:rPr>
              <m:t>2</m:t>
            </m:r>
          </m:sup>
        </m:sSup>
        <m:r>
          <w:rPr>
            <w:rStyle w:val="katex-mathml"/>
            <w:rFonts w:ascii="Cambria Math" w:hAnsi="Cambria Math" w:cs="Times New Roman"/>
          </w:rPr>
          <m:t>≈</m:t>
        </m:r>
        <m:f>
          <m:fPr>
            <m:ctrlPr>
              <w:rPr>
                <w:rStyle w:val="katex-mathml"/>
                <w:rFonts w:ascii="Cambria Math" w:hAnsi="Cambria Math" w:cs="Times New Roman"/>
                <w:i/>
              </w:rPr>
            </m:ctrlPr>
          </m:fPr>
          <m:num>
            <m:sSubSup>
              <m:sSubSupPr>
                <m:ctrlPr>
                  <w:rPr>
                    <w:rStyle w:val="katex-mathml"/>
                    <w:rFonts w:ascii="Cambria Math" w:hAnsi="Cambria Math" w:cs="Times New Roman"/>
                    <w:i/>
                  </w:rPr>
                </m:ctrlPr>
              </m:sSubSupPr>
              <m:e>
                <m:d>
                  <m:dPr>
                    <m:begChr m:val="‖"/>
                    <m:endChr m:val="‖"/>
                    <m:ctrlPr>
                      <w:rPr>
                        <w:rStyle w:val="katex-mathml"/>
                        <w:rFonts w:ascii="Cambria Math" w:hAnsi="Cambria Math" w:cs="Times New Roman"/>
                        <w:i/>
                      </w:rPr>
                    </m:ctrlPr>
                  </m:dPr>
                  <m:e>
                    <m:r>
                      <w:rPr>
                        <w:rStyle w:val="katex-mathml"/>
                        <w:rFonts w:ascii="Cambria Math" w:hAnsi="Cambria Math" w:cs="Times New Roman"/>
                      </w:rPr>
                      <m:t>r(</m:t>
                    </m:r>
                    <m:acc>
                      <m:accPr>
                        <m:ctrlPr>
                          <w:rPr>
                            <w:rStyle w:val="katex-mathml"/>
                            <w:rFonts w:ascii="Cambria Math" w:hAnsi="Cambria Math" w:cs="Times New Roman"/>
                            <w:i/>
                          </w:rPr>
                        </m:ctrlPr>
                      </m:accPr>
                      <m:e>
                        <m:r>
                          <w:rPr>
                            <w:rStyle w:val="katex-mathml"/>
                            <w:rFonts w:ascii="Cambria Math" w:hAnsi="Cambria Math" w:cs="Times New Roman"/>
                          </w:rPr>
                          <m:t>θ</m:t>
                        </m:r>
                      </m:e>
                    </m:acc>
                    <m:r>
                      <w:rPr>
                        <w:rStyle w:val="katex-mathml"/>
                        <w:rFonts w:ascii="Cambria Math" w:hAnsi="Cambria Math" w:cs="Times New Roman"/>
                      </w:rPr>
                      <m:t>)</m:t>
                    </m:r>
                  </m:e>
                </m:d>
              </m:e>
              <m:sub>
                <m:r>
                  <w:rPr>
                    <w:rStyle w:val="katex-mathml"/>
                    <w:rFonts w:ascii="Cambria Math" w:hAnsi="Cambria Math" w:cs="Times New Roman"/>
                  </w:rPr>
                  <m:t>2</m:t>
                </m:r>
              </m:sub>
              <m:sup>
                <m:r>
                  <w:rPr>
                    <w:rStyle w:val="katex-mathml"/>
                    <w:rFonts w:ascii="Cambria Math" w:hAnsi="Cambria Math" w:cs="Times New Roman"/>
                  </w:rPr>
                  <m:t>2</m:t>
                </m:r>
              </m:sup>
            </m:sSubSup>
          </m:num>
          <m:den>
            <m:r>
              <w:rPr>
                <w:rStyle w:val="katex-mathml"/>
                <w:rFonts w:ascii="Cambria Math" w:hAnsi="Cambria Math" w:cs="Times New Roman"/>
              </w:rPr>
              <m:t>2N-7</m:t>
            </m:r>
          </m:den>
        </m:f>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(S20)</w:t>
      </w:r>
    </w:p>
    <w:p w14:paraId="59E15BDF"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 xml:space="preserve">This covariance captures </w:t>
      </w:r>
      <w:r w:rsidRPr="001419A2">
        <w:rPr>
          <w:rStyle w:val="a4"/>
          <w:rFonts w:ascii="Times New Roman" w:hAnsi="Times New Roman" w:cs="Times New Roman"/>
        </w:rPr>
        <w:t>local</w:t>
      </w:r>
      <w:r w:rsidRPr="001419A2">
        <w:rPr>
          <w:rFonts w:ascii="Times New Roman" w:hAnsi="Times New Roman" w:cs="Times New Roman"/>
        </w:rPr>
        <w:t xml:space="preserve"> identifiability: directions in parameter space with weak curvature (small eigenvalues of </w:t>
      </w:r>
      <m:oMath>
        <m:sSup>
          <m:sSupPr>
            <m:ctrlPr>
              <w:rPr>
                <w:rStyle w:val="katex-mathml"/>
                <w:rFonts w:ascii="Cambria Math" w:hAnsi="Cambria Math" w:cs="Times New Roman"/>
                <w:b/>
                <w:bCs/>
                <w:iCs/>
              </w:rPr>
            </m:ctrlPr>
          </m:sSupPr>
          <m:e>
            <m:r>
              <m:rPr>
                <m:sty m:val="b"/>
              </m:rPr>
              <w:rPr>
                <w:rStyle w:val="katex-mathml"/>
                <w:rFonts w:ascii="Cambria Math" w:hAnsi="Cambria Math" w:cs="Times New Roman"/>
              </w:rPr>
              <m:t>J</m:t>
            </m:r>
          </m:e>
          <m:sup>
            <m:r>
              <w:rPr>
                <w:rStyle w:val="katex-mathml"/>
                <w:rFonts w:ascii="Cambria Math" w:hAnsi="Cambria Math" w:cs="Cambria Math"/>
              </w:rPr>
              <m:t>⊤</m:t>
            </m:r>
          </m:sup>
        </m:sSup>
        <m:r>
          <m:rPr>
            <m:sty m:val="b"/>
          </m:rPr>
          <w:rPr>
            <w:rStyle w:val="katex-mathml"/>
            <w:rFonts w:ascii="Cambria Math" w:hAnsi="Cambria Math" w:cs="Times New Roman"/>
          </w:rPr>
          <m:t>WJ</m:t>
        </m:r>
      </m:oMath>
      <w:r w:rsidRPr="001419A2">
        <w:rPr>
          <w:rFonts w:ascii="Times New Roman" w:hAnsi="Times New Roman" w:cs="Times New Roman"/>
        </w:rPr>
        <w:t xml:space="preserve">) correspond to large uncertainties and strong parameter trade-offs. In the MXene circuit, such trade-offs commonly occur between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ct</m:t>
            </m:r>
          </m:sub>
        </m:sSub>
      </m:oMath>
      <w:r w:rsidRPr="001419A2">
        <w:rPr>
          <w:rFonts w:ascii="Times New Roman" w:hAnsi="Times New Roman" w:cs="Times New Roman"/>
        </w:rPr>
        <w:t xml:space="preserve"> and </w:t>
      </w:r>
      <m:oMath>
        <m:sSub>
          <m:sSubPr>
            <m:ctrlPr>
              <w:rPr>
                <w:rStyle w:val="katex-mathml"/>
                <w:rFonts w:ascii="Cambria Math" w:hAnsi="Cambria Math" w:cs="Times New Roman"/>
                <w:i/>
              </w:rPr>
            </m:ctrlPr>
          </m:sSubPr>
          <m:e>
            <m:r>
              <w:rPr>
                <w:rStyle w:val="katex-mathml"/>
                <w:rFonts w:ascii="Cambria Math" w:hAnsi="Cambria Math" w:cs="Times New Roman"/>
              </w:rPr>
              <m:t>CPE</m:t>
            </m:r>
          </m:e>
          <m:sub>
            <m:r>
              <w:rPr>
                <w:rStyle w:val="katex-mathml"/>
                <w:rFonts w:ascii="Cambria Math" w:hAnsi="Cambria Math" w:cs="Times New Roman"/>
              </w:rPr>
              <m:t>1</m:t>
            </m:r>
          </m:sub>
        </m:sSub>
      </m:oMath>
      <w:r w:rsidRPr="001419A2">
        <w:rPr>
          <w:rFonts w:ascii="Times New Roman" w:hAnsi="Times New Roman" w:cs="Times New Roman"/>
        </w:rPr>
        <w:t xml:space="preserve"> parameters </w:t>
      </w:r>
      <m:oMath>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Q</m:t>
            </m:r>
          </m:e>
          <m:sub>
            <m:r>
              <w:rPr>
                <w:rStyle w:val="katex-mathml"/>
                <w:rFonts w:ascii="Cambria Math" w:hAnsi="Cambria Math" w:cs="Times New Roman"/>
              </w:rPr>
              <m:t>1</m:t>
            </m:r>
          </m:sub>
        </m:sSub>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α</m:t>
            </m:r>
          </m:e>
          <m:sub>
            <m:r>
              <w:rPr>
                <w:rStyle w:val="katex-mathml"/>
                <w:rFonts w:ascii="Cambria Math" w:hAnsi="Cambria Math" w:cs="Times New Roman"/>
              </w:rPr>
              <m:t>1</m:t>
            </m:r>
          </m:sub>
        </m:sSub>
        <m:r>
          <w:rPr>
            <w:rStyle w:val="katex-mathml"/>
            <w:rFonts w:ascii="Cambria Math" w:hAnsi="Cambria Math" w:cs="Times New Roman"/>
          </w:rPr>
          <m:t>)</m:t>
        </m:r>
      </m:oMath>
      <w:r w:rsidRPr="001419A2">
        <w:rPr>
          <w:rFonts w:ascii="Times New Roman" w:hAnsi="Times New Roman" w:cs="Times New Roman"/>
        </w:rPr>
        <w:t xml:space="preserve">, or between </w:t>
      </w:r>
      <m:oMath>
        <m:sSub>
          <m:sSubPr>
            <m:ctrlPr>
              <w:rPr>
                <w:rStyle w:val="katex-mathml"/>
                <w:rFonts w:ascii="Cambria Math" w:hAnsi="Cambria Math" w:cs="Times New Roman"/>
                <w:i/>
              </w:rPr>
            </m:ctrlPr>
          </m:sSubPr>
          <m:e>
            <m:r>
              <w:rPr>
                <w:rStyle w:val="katex-mathml"/>
                <w:rFonts w:ascii="Cambria Math" w:hAnsi="Cambria Math" w:cs="Times New Roman"/>
              </w:rPr>
              <m:t>CPE</m:t>
            </m:r>
          </m:e>
          <m:sub>
            <m:r>
              <w:rPr>
                <w:rStyle w:val="katex-mathml"/>
                <w:rFonts w:ascii="Cambria Math" w:hAnsi="Cambria Math" w:cs="Times New Roman"/>
              </w:rPr>
              <m:t>2</m:t>
            </m:r>
          </m:sub>
        </m:sSub>
      </m:oMath>
      <w:r w:rsidRPr="001419A2">
        <w:rPr>
          <w:rFonts w:ascii="Times New Roman" w:hAnsi="Times New Roman" w:cs="Times New Roman"/>
        </w:rPr>
        <w:t xml:space="preserve"> and the low-frequency portion of the interfacial arc. Accordingly, we quantify </w:t>
      </w:r>
      <w:r w:rsidRPr="001419A2">
        <w:rPr>
          <w:rFonts w:ascii="Times New Roman" w:hAnsi="Times New Roman" w:cs="Times New Roman"/>
        </w:rPr>
        <w:lastRenderedPageBreak/>
        <w:t xml:space="preserve">dominant correlations (Pearson </w:t>
      </w:r>
      <m:oMath>
        <m:r>
          <w:rPr>
            <w:rStyle w:val="mord"/>
            <w:rFonts w:ascii="Cambria Math" w:hAnsi="Cambria Math" w:cs="Times New Roman"/>
          </w:rPr>
          <m:t>r</m:t>
        </m:r>
      </m:oMath>
      <w:r w:rsidRPr="001419A2">
        <w:rPr>
          <w:rFonts w:ascii="Times New Roman" w:hAnsi="Times New Roman" w:cs="Times New Roman"/>
        </w:rPr>
        <w:t>) across noisy refits and label parameters as well-, moderately-, or poorly identifiable depending on their curvature proxy, CV% under noise, and correlation strength.</w:t>
      </w:r>
    </w:p>
    <w:p w14:paraId="358E6F0D" w14:textId="77777777" w:rsidR="00E33E28" w:rsidRPr="001419A2" w:rsidRDefault="00E33E28" w:rsidP="00E33E28">
      <w:pPr>
        <w:pStyle w:val="Web"/>
        <w:spacing w:line="360" w:lineRule="auto"/>
        <w:ind w:firstLine="480"/>
        <w:jc w:val="both"/>
        <w:rPr>
          <w:rFonts w:ascii="Times New Roman" w:hAnsi="Times New Roman" w:cs="Times New Roman"/>
        </w:rPr>
      </w:pPr>
      <w:r w:rsidRPr="001419A2">
        <w:rPr>
          <w:rFonts w:ascii="Times New Roman" w:hAnsi="Times New Roman" w:cs="Times New Roman"/>
        </w:rPr>
        <w:t xml:space="preserve">Finally, we assess robustness by controlled noise injection using a complex Gaussian perturbation scaled by </w:t>
      </w:r>
      <w:r w:rsidRPr="001419A2">
        <w:rPr>
          <w:rStyle w:val="katex-mathml"/>
          <w:rFonts w:ascii="Cambria Math" w:hAnsi="Cambria Math" w:cs="Cambria Math"/>
        </w:rPr>
        <w:t>∣</w:t>
      </w:r>
      <w:r w:rsidRPr="001419A2">
        <w:rPr>
          <w:rStyle w:val="katex-mathml"/>
          <w:rFonts w:ascii="Times New Roman" w:hAnsi="Times New Roman" w:cs="Times New Roman"/>
        </w:rPr>
        <w:t>Z</w:t>
      </w:r>
      <w:r w:rsidRPr="001419A2">
        <w:rPr>
          <w:rStyle w:val="katex-mathml"/>
          <w:rFonts w:ascii="Cambria Math" w:hAnsi="Cambria Math" w:cs="Cambria Math"/>
        </w:rPr>
        <w:t>∣</w:t>
      </w:r>
      <w:r w:rsidRPr="001419A2">
        <w:rPr>
          <w:rFonts w:ascii="Times New Roman" w:hAnsi="Times New Roman" w:cs="Times New Roman"/>
        </w:rPr>
        <w:t>:</w:t>
      </w:r>
    </w:p>
    <w:p w14:paraId="344714EC" w14:textId="77777777" w:rsidR="00E33E28" w:rsidRPr="001419A2" w:rsidRDefault="00E33E28" w:rsidP="00E33E28">
      <w:pPr>
        <w:spacing w:before="100" w:beforeAutospacing="1" w:after="100" w:afterAutospacing="1" w:line="360" w:lineRule="auto"/>
        <w:jc w:val="right"/>
        <w:rPr>
          <w:rFonts w:ascii="Times New Roman" w:hAnsi="Times New Roman" w:cs="Times New Roman"/>
        </w:rPr>
      </w:pPr>
      <m:oMath>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noisy</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r>
          <w:rPr>
            <w:rStyle w:val="katex-mathml"/>
            <w:rFonts w:ascii="Cambria Math" w:hAnsi="Cambria Math" w:cs="Times New Roman"/>
          </w:rPr>
          <m:t>=</m:t>
        </m:r>
        <m:sSub>
          <m:sSubPr>
            <m:ctrlPr>
              <w:rPr>
                <w:rStyle w:val="katex-mathml"/>
                <w:rFonts w:ascii="Cambria Math" w:hAnsi="Cambria Math" w:cs="Times New Roman"/>
                <w:i/>
              </w:rPr>
            </m:ctrlPr>
          </m:sSubPr>
          <m:e>
            <m:r>
              <w:rPr>
                <w:rStyle w:val="katex-mathml"/>
                <w:rFonts w:ascii="Cambria Math" w:hAnsi="Cambria Math" w:cs="Times New Roman"/>
              </w:rPr>
              <m:t>Z</m:t>
            </m:r>
          </m:e>
          <m:sub>
            <m:r>
              <w:rPr>
                <w:rStyle w:val="katex-mathml"/>
                <w:rFonts w:ascii="Cambria Math" w:hAnsi="Cambria Math" w:cs="Times New Roman"/>
              </w:rPr>
              <m:t>clean</m:t>
            </m:r>
          </m:sub>
        </m:sSub>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r>
          <w:rPr>
            <w:rStyle w:val="katex-mathml"/>
            <w:rFonts w:ascii="Cambria Math" w:hAnsi="Cambria Math" w:cs="Times New Roman"/>
          </w:rPr>
          <m:t>+η</m:t>
        </m:r>
        <m:r>
          <w:rPr>
            <w:rStyle w:val="katex-mathml"/>
            <w:rFonts w:ascii="Cambria Math" w:hAnsi="Cambria Math" w:cs="Cambria Math"/>
          </w:rPr>
          <m:t>∣</m:t>
        </m:r>
        <m:r>
          <w:rPr>
            <w:rStyle w:val="katex-mathml"/>
            <w:rFonts w:ascii="Cambria Math" w:hAnsi="Cambria Math" w:cs="Times New Roman"/>
          </w:rPr>
          <m:t>Z</m:t>
        </m:r>
        <m:d>
          <m:dPr>
            <m:ctrlPr>
              <w:rPr>
                <w:rStyle w:val="katex-mathml"/>
                <w:rFonts w:ascii="Cambria Math" w:hAnsi="Cambria Math" w:cs="Times New Roman"/>
                <w:i/>
              </w:rPr>
            </m:ctrlPr>
          </m:dPr>
          <m:e>
            <m:sSub>
              <m:sSubPr>
                <m:ctrlPr>
                  <w:rPr>
                    <w:rStyle w:val="katex-mathml"/>
                    <w:rFonts w:ascii="Cambria Math" w:hAnsi="Cambria Math" w:cs="Times New Roman"/>
                    <w:i/>
                  </w:rPr>
                </m:ctrlPr>
              </m:sSubPr>
              <m:e>
                <m:r>
                  <w:rPr>
                    <w:rStyle w:val="katex-mathml"/>
                    <w:rFonts w:ascii="Cambria Math" w:hAnsi="Cambria Math" w:cs="Times New Roman"/>
                  </w:rPr>
                  <m:t>ω</m:t>
                </m:r>
              </m:e>
              <m:sub>
                <m:r>
                  <w:rPr>
                    <w:rStyle w:val="katex-mathml"/>
                    <w:rFonts w:ascii="Cambria Math" w:hAnsi="Cambria Math" w:cs="Times New Roman"/>
                  </w:rPr>
                  <m:t>k</m:t>
                </m:r>
              </m:sub>
            </m:sSub>
          </m:e>
        </m:d>
        <m:r>
          <w:rPr>
            <w:rStyle w:val="katex-mathml"/>
            <w:rFonts w:ascii="Cambria Math" w:hAnsi="Cambria Math" w:cs="Cambria Math"/>
          </w:rPr>
          <m:t>∣</m:t>
        </m:r>
        <m:r>
          <w:rPr>
            <w:rStyle w:val="katex-mathml"/>
            <w:rFonts w:ascii="Cambria Math" w:hAnsi="Cambria Math" w:cs="Times New Roman"/>
          </w:rPr>
          <m:t> </m:t>
        </m:r>
        <m:sSub>
          <m:sSubPr>
            <m:ctrlPr>
              <w:rPr>
                <w:rStyle w:val="katex-mathml"/>
                <w:rFonts w:ascii="Cambria Math" w:hAnsi="Cambria Math" w:cs="Times New Roman"/>
                <w:i/>
              </w:rPr>
            </m:ctrlPr>
          </m:sSubPr>
          <m:e>
            <m:r>
              <w:rPr>
                <w:rStyle w:val="katex-mathml"/>
                <w:rFonts w:ascii="Cambria Math" w:hAnsi="Cambria Math" w:cs="Times New Roman"/>
              </w:rPr>
              <m:t>ε</m:t>
            </m:r>
          </m:e>
          <m:sub>
            <m:r>
              <w:rPr>
                <w:rStyle w:val="katex-mathml"/>
                <w:rFonts w:ascii="Cambria Math" w:hAnsi="Cambria Math" w:cs="Times New Roman"/>
              </w:rPr>
              <m:t>k</m:t>
            </m:r>
          </m:sub>
        </m:sSub>
        <m:r>
          <w:rPr>
            <w:rStyle w:val="katex-mathml"/>
            <w:rFonts w:ascii="Cambria Math" w:hAnsi="Cambria Math" w:cs="Times New Roman"/>
          </w:rPr>
          <m:t xml:space="preserve">, </m:t>
        </m:r>
        <m:sSub>
          <m:sSubPr>
            <m:ctrlPr>
              <w:rPr>
                <w:rStyle w:val="katex-mathml"/>
                <w:rFonts w:ascii="Cambria Math" w:hAnsi="Cambria Math" w:cs="Times New Roman"/>
                <w:i/>
              </w:rPr>
            </m:ctrlPr>
          </m:sSubPr>
          <m:e>
            <m:r>
              <w:rPr>
                <w:rStyle w:val="katex-mathml"/>
                <w:rFonts w:ascii="Cambria Math" w:hAnsi="Cambria Math" w:cs="Times New Roman"/>
              </w:rPr>
              <m:t>ε</m:t>
            </m:r>
          </m:e>
          <m:sub>
            <m:r>
              <w:rPr>
                <w:rStyle w:val="katex-mathml"/>
                <w:rFonts w:ascii="Cambria Math" w:hAnsi="Cambria Math" w:cs="Times New Roman"/>
              </w:rPr>
              <m:t>k</m:t>
            </m:r>
          </m:sub>
        </m:sSub>
        <m:r>
          <m:rPr>
            <m:scr m:val="script"/>
          </m:rPr>
          <w:rPr>
            <w:rStyle w:val="katex-mathml"/>
            <w:rFonts w:ascii="Cambria Math" w:hAnsi="Cambria Math" w:cs="Times New Roman"/>
          </w:rPr>
          <m:t>~CN</m:t>
        </m:r>
        <m:d>
          <m:dPr>
            <m:ctrlPr>
              <w:rPr>
                <w:rStyle w:val="katex-mathml"/>
                <w:rFonts w:ascii="Cambria Math" w:hAnsi="Cambria Math" w:cs="Times New Roman"/>
                <w:i/>
              </w:rPr>
            </m:ctrlPr>
          </m:dPr>
          <m:e>
            <m:r>
              <w:rPr>
                <w:rStyle w:val="katex-mathml"/>
                <w:rFonts w:ascii="Cambria Math" w:hAnsi="Cambria Math" w:cs="Times New Roman"/>
              </w:rPr>
              <m:t>0,1</m:t>
            </m:r>
          </m:e>
        </m:d>
      </m:oMath>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r>
      <w:r>
        <w:rPr>
          <w:rStyle w:val="katex-mathml"/>
          <w:rFonts w:ascii="Times New Roman" w:hAnsi="Times New Roman" w:cs="Times New Roman"/>
        </w:rPr>
        <w:tab/>
        <w:t>(S21)</w:t>
      </w:r>
    </w:p>
    <w:p w14:paraId="25FA7B5A" w14:textId="77777777" w:rsidR="00E33E28" w:rsidRPr="0010204E" w:rsidRDefault="00E33E28" w:rsidP="00E33E28">
      <w:pPr>
        <w:pStyle w:val="Web"/>
        <w:spacing w:line="360" w:lineRule="auto"/>
        <w:jc w:val="both"/>
        <w:rPr>
          <w:rFonts w:ascii="Times New Roman" w:hAnsi="Times New Roman" w:cs="Times New Roman"/>
        </w:rPr>
      </w:pPr>
      <w:r w:rsidRPr="001419A2">
        <w:rPr>
          <w:rFonts w:ascii="Times New Roman" w:hAnsi="Times New Roman" w:cs="Times New Roman"/>
        </w:rPr>
        <w:t xml:space="preserve">followed by bounded refitting. The spread of recovered </w:t>
      </w:r>
      <m:oMath>
        <m:r>
          <w:rPr>
            <w:rStyle w:val="mord"/>
            <w:rFonts w:ascii="Cambria Math" w:hAnsi="Cambria Math" w:cs="Times New Roman"/>
          </w:rPr>
          <m:t>θ</m:t>
        </m:r>
      </m:oMath>
      <w:r w:rsidRPr="001419A2">
        <w:rPr>
          <w:rFonts w:ascii="Times New Roman" w:hAnsi="Times New Roman" w:cs="Times New Roman"/>
        </w:rPr>
        <w:t xml:space="preserve"> across replicates provides an empirical uncertainty that complements the Jacobian-based estimate and directly reflects practical sensitivity to measurement noise and model degeneracy.</w:t>
      </w:r>
    </w:p>
    <w:p w14:paraId="42D62342" w14:textId="77777777" w:rsidR="00635133" w:rsidRPr="00E33E28" w:rsidRDefault="00635133"/>
    <w:sectPr w:rsidR="00635133" w:rsidRPr="00E33E28" w:rsidSect="00E33E28">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28"/>
    <w:rsid w:val="00635133"/>
    <w:rsid w:val="00E33E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3CE0C93"/>
  <w15:chartTrackingRefBased/>
  <w15:docId w15:val="{0C2E21BC-99F7-8240-95CA-ACFB96B17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E28"/>
    <w:rPr>
      <w:rFonts w:ascii="新細明體" w:eastAsia="新細明體" w:hAnsi="新細明體" w:cs="新細明體"/>
      <w:kern w:val="0"/>
    </w:rPr>
  </w:style>
  <w:style w:type="paragraph" w:styleId="3">
    <w:name w:val="heading 3"/>
    <w:basedOn w:val="a"/>
    <w:link w:val="30"/>
    <w:uiPriority w:val="9"/>
    <w:qFormat/>
    <w:rsid w:val="00E33E28"/>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E33E28"/>
    <w:rPr>
      <w:rFonts w:ascii="新細明體" w:eastAsia="新細明體" w:hAnsi="新細明體" w:cs="新細明體"/>
      <w:b/>
      <w:bCs/>
      <w:kern w:val="0"/>
      <w:sz w:val="27"/>
      <w:szCs w:val="27"/>
    </w:rPr>
  </w:style>
  <w:style w:type="paragraph" w:styleId="Web">
    <w:name w:val="Normal (Web)"/>
    <w:basedOn w:val="a"/>
    <w:uiPriority w:val="99"/>
    <w:unhideWhenUsed/>
    <w:rsid w:val="00E33E28"/>
    <w:pPr>
      <w:spacing w:before="100" w:beforeAutospacing="1" w:after="100" w:afterAutospacing="1"/>
    </w:pPr>
  </w:style>
  <w:style w:type="character" w:styleId="a3">
    <w:name w:val="Strong"/>
    <w:basedOn w:val="a0"/>
    <w:uiPriority w:val="22"/>
    <w:qFormat/>
    <w:rsid w:val="00E33E28"/>
    <w:rPr>
      <w:b/>
      <w:bCs/>
    </w:rPr>
  </w:style>
  <w:style w:type="character" w:customStyle="1" w:styleId="katex-mathml">
    <w:name w:val="katex-mathml"/>
    <w:basedOn w:val="a0"/>
    <w:rsid w:val="00E33E28"/>
  </w:style>
  <w:style w:type="character" w:customStyle="1" w:styleId="mord">
    <w:name w:val="mord"/>
    <w:basedOn w:val="a0"/>
    <w:rsid w:val="00E33E28"/>
  </w:style>
  <w:style w:type="character" w:styleId="a4">
    <w:name w:val="Emphasis"/>
    <w:basedOn w:val="a0"/>
    <w:uiPriority w:val="20"/>
    <w:qFormat/>
    <w:rsid w:val="00E33E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吳勝允</dc:creator>
  <cp:keywords/>
  <dc:description/>
  <cp:lastModifiedBy>吳勝允</cp:lastModifiedBy>
  <cp:revision>1</cp:revision>
  <dcterms:created xsi:type="dcterms:W3CDTF">2026-02-28T03:38:00Z</dcterms:created>
  <dcterms:modified xsi:type="dcterms:W3CDTF">2026-02-28T03:38:00Z</dcterms:modified>
</cp:coreProperties>
</file>