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Clinic Information Questionnaire</w:t>
      </w:r>
    </w:p>
    <w:p>
      <w:pPr>
        <w:jc w:val="center"/>
      </w:pPr>
      <w:r>
        <w:rPr>
          <w:i/>
          <w:sz w:val="24"/>
        </w:rPr>
        <w:t>Information required to customize the automation</w:t>
      </w:r>
    </w:p>
    <w:p/>
    <w:p>
      <w:pPr>
        <w:pStyle w:val="Heading1"/>
      </w:pPr>
      <w:r>
        <w:t>Clinic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Field</w:t>
            </w:r>
          </w:p>
        </w:tc>
        <w:tc>
          <w:tcPr>
            <w:tcW w:type="dxa" w:w="4896"/>
            <w:shd w:fill="D9EAF7"/>
          </w:tcPr>
          <w:p>
            <w:r>
              <w:t>Client response</w:t>
            </w:r>
          </w:p>
        </w:tc>
      </w:tr>
      <w:tr>
        <w:tc>
          <w:tcPr>
            <w:tcW w:type="dxa" w:w="4896"/>
          </w:tcPr>
          <w:p>
            <w:r>
              <w:t>Clinic name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Primary address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Public phone number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Public email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Website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Clinic time zone</w:t>
            </w:r>
          </w:p>
        </w:tc>
        <w:tc>
          <w:tcPr>
            <w:tcW w:type="dxa" w:w="4896"/>
          </w:tcPr>
          <w:p>
            <w:r/>
          </w:p>
        </w:tc>
      </w:tr>
    </w:tbl>
    <w:p/>
    <w:p>
      <w:pPr>
        <w:pStyle w:val="Heading1"/>
      </w:pPr>
      <w:r>
        <w:t>Working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9EAF7"/>
          </w:tcPr>
          <w:p>
            <w:r>
              <w:t>Day</w:t>
            </w:r>
          </w:p>
        </w:tc>
        <w:tc>
          <w:tcPr>
            <w:tcW w:type="dxa" w:w="2448"/>
            <w:shd w:fill="D9EAF7"/>
          </w:tcPr>
          <w:p>
            <w:r>
              <w:t>Opening time</w:t>
            </w:r>
          </w:p>
        </w:tc>
        <w:tc>
          <w:tcPr>
            <w:tcW w:type="dxa" w:w="2448"/>
            <w:shd w:fill="D9EAF7"/>
          </w:tcPr>
          <w:p>
            <w:r>
              <w:t>Closing time</w:t>
            </w:r>
          </w:p>
        </w:tc>
        <w:tc>
          <w:tcPr>
            <w:tcW w:type="dxa" w:w="2448"/>
            <w:shd w:fill="D9EAF7"/>
          </w:tcPr>
          <w:p>
            <w:r>
              <w:t>Closed?</w:t>
            </w:r>
          </w:p>
        </w:tc>
      </w:tr>
      <w:tr>
        <w:tc>
          <w:tcPr>
            <w:tcW w:type="dxa" w:w="2448"/>
          </w:tcPr>
          <w:p>
            <w:r>
              <w:t>Monday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Tuesday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Wednesday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Thursday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Friday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Saturday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  <w:tr>
        <w:tc>
          <w:tcPr>
            <w:tcW w:type="dxa" w:w="2448"/>
          </w:tcPr>
          <w:p>
            <w:r>
              <w:t>Sunday</w:t>
            </w:r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  <w:tc>
          <w:tcPr>
            <w:tcW w:type="dxa" w:w="2448"/>
          </w:tcPr>
          <w:p>
            <w:r/>
          </w:p>
        </w:tc>
      </w:tr>
    </w:tbl>
    <w:p/>
    <w:p>
      <w:pPr>
        <w:pStyle w:val="Heading1"/>
      </w:pPr>
      <w:r>
        <w:t>Appointment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9EAF7"/>
          </w:tcPr>
          <w:p>
            <w:r>
              <w:t>Setting</w:t>
            </w:r>
          </w:p>
        </w:tc>
        <w:tc>
          <w:tcPr>
            <w:tcW w:type="dxa" w:w="4896"/>
            <w:shd w:fill="D9EAF7"/>
          </w:tcPr>
          <w:p>
            <w:r>
              <w:t>Client response</w:t>
            </w:r>
          </w:p>
        </w:tc>
      </w:tr>
      <w:tr>
        <w:tc>
          <w:tcPr>
            <w:tcW w:type="dxa" w:w="4896"/>
          </w:tcPr>
          <w:p>
            <w:r>
              <w:t>Default appointment duration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Buffer between appointments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Same-day appointments allowed?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Walk-ins accepted?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Calendar to use</w:t>
            </w:r>
          </w:p>
        </w:tc>
        <w:tc>
          <w:tcPr>
            <w:tcW w:type="dxa" w:w="4896"/>
          </w:tcPr>
          <w:p>
            <w:r/>
          </w:p>
        </w:tc>
      </w:tr>
      <w:tr>
        <w:tc>
          <w:tcPr>
            <w:tcW w:type="dxa" w:w="4896"/>
          </w:tcPr>
          <w:p>
            <w:r>
              <w:t>Who receives internal notifications?</w:t>
            </w:r>
          </w:p>
        </w:tc>
        <w:tc>
          <w:tcPr>
            <w:tcW w:type="dxa" w:w="4896"/>
          </w:tcPr>
          <w:p>
            <w:r/>
          </w:p>
        </w:tc>
      </w:tr>
    </w:tbl>
    <w:p/>
    <w:p>
      <w:pPr>
        <w:pStyle w:val="Heading1"/>
      </w:pPr>
      <w:r>
        <w:t>Policies</w:t>
      </w:r>
    </w:p>
    <w:p>
      <w:r>
        <w:t>Cancellation notice period:</w:t>
      </w:r>
    </w:p>
    <w:p>
      <w:r>
        <w:t>Rescheduling policy:</w:t>
      </w:r>
    </w:p>
    <w:p>
      <w:r>
        <w:t>Emergency handling policy:</w:t>
      </w:r>
    </w:p>
    <w:p>
      <w:r>
        <w:t>No-show policy:</w:t>
      </w:r>
    </w:p>
    <w:p/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