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lang w:val="en-US" w:eastAsia="zh-CN"/>
        </w:rPr>
      </w:pPr>
      <w:r>
        <w:rPr>
          <w:rFonts w:hint="eastAsia" w:ascii="微软雅黑" w:hAnsi="微软雅黑" w:eastAsia="微软雅黑" w:cs="微软雅黑"/>
          <w:i w:val="0"/>
          <w:iCs w:val="0"/>
          <w:caps w:val="0"/>
          <w:color w:val="191D32"/>
          <w:spacing w:val="0"/>
          <w:sz w:val="28"/>
          <w:szCs w:val="28"/>
          <w:shd w:val="clear" w:fill="FFFFFF"/>
        </w:rPr>
        <w:t>TikTok Shop</w:t>
      </w:r>
      <w:r>
        <w:rPr>
          <w:rFonts w:hint="eastAsia" w:ascii="微软雅黑" w:hAnsi="微软雅黑" w:eastAsia="微软雅黑" w:cs="微软雅黑"/>
          <w:i w:val="0"/>
          <w:iCs w:val="0"/>
          <w:caps w:val="0"/>
          <w:color w:val="191D32"/>
          <w:spacing w:val="0"/>
          <w:sz w:val="28"/>
          <w:szCs w:val="28"/>
          <w:shd w:val="clear" w:fill="FFFFFF"/>
          <w:lang w:val="en-US" w:eastAsia="zh-CN"/>
        </w:rPr>
        <w:t>跨境平台</w:t>
      </w:r>
      <w:r>
        <w:rPr>
          <w:rFonts w:hint="eastAsia" w:ascii="微软雅黑" w:hAnsi="微软雅黑" w:eastAsia="微软雅黑" w:cs="微软雅黑"/>
          <w:i w:val="0"/>
          <w:iCs w:val="0"/>
          <w:caps w:val="0"/>
          <w:color w:val="191D32"/>
          <w:spacing w:val="0"/>
          <w:sz w:val="28"/>
          <w:szCs w:val="28"/>
          <w:shd w:val="clear" w:fill="FFFFFF"/>
        </w:rPr>
        <w:t>规则</w:t>
      </w:r>
      <w:r>
        <w:rPr>
          <w:rFonts w:hint="eastAsia" w:ascii="微软雅黑" w:hAnsi="微软雅黑" w:eastAsia="微软雅黑" w:cs="微软雅黑"/>
          <w:i w:val="0"/>
          <w:iCs w:val="0"/>
          <w:caps w:val="0"/>
          <w:color w:val="191D32"/>
          <w:spacing w:val="0"/>
          <w:sz w:val="28"/>
          <w:szCs w:val="28"/>
          <w:shd w:val="clear" w:fill="FFFFFF"/>
          <w:lang w:val="en-US" w:eastAsia="zh-CN"/>
        </w:rPr>
        <w:t>梳理</w:t>
      </w:r>
      <w:r>
        <w:rPr>
          <w:rFonts w:hint="eastAsia" w:ascii="微软雅黑" w:hAnsi="微软雅黑" w:eastAsia="微软雅黑" w:cs="微软雅黑"/>
          <w:i w:val="0"/>
          <w:iCs w:val="0"/>
          <w:caps w:val="0"/>
          <w:color w:val="191D32"/>
          <w:spacing w:val="0"/>
          <w:sz w:val="28"/>
          <w:szCs w:val="28"/>
          <w:shd w:val="clear" w:fill="FFFFFF"/>
        </w:rPr>
        <w:t>（美国，英国及东南亚跨境)</w:t>
      </w:r>
    </w:p>
    <w:p>
      <w:pPr>
        <w:pStyle w:val="3"/>
        <w:keepNext w:val="0"/>
        <w:keepLines w:val="0"/>
        <w:widowControl/>
        <w:suppressLineNumbers w:val="0"/>
        <w:rPr>
          <w:rFonts w:hint="eastAsia" w:ascii="微软雅黑" w:hAnsi="微软雅黑" w:eastAsia="微软雅黑" w:cs="微软雅黑"/>
          <w:sz w:val="20"/>
          <w:szCs w:val="20"/>
        </w:rPr>
      </w:pPr>
      <w:r>
        <w:rPr>
          <w:rFonts w:hint="eastAsia" w:ascii="微软雅黑" w:hAnsi="微软雅黑" w:eastAsia="微软雅黑" w:cs="微软雅黑"/>
          <w:b/>
          <w:bCs/>
          <w:sz w:val="20"/>
          <w:szCs w:val="20"/>
        </w:rPr>
        <w:t>适用范围</w:t>
      </w:r>
    </w:p>
    <w:p>
      <w:pPr>
        <w:keepNext w:val="0"/>
        <w:keepLines w:val="0"/>
        <w:widowControl/>
        <w:suppressLineNumbers w:val="0"/>
        <w:jc w:val="left"/>
        <w:rPr>
          <w:rFonts w:hint="eastAsia" w:ascii="微软雅黑" w:hAnsi="微软雅黑" w:eastAsia="微软雅黑" w:cs="微软雅黑"/>
          <w:sz w:val="11"/>
          <w:szCs w:val="15"/>
        </w:rPr>
      </w:pPr>
      <w:r>
        <w:rPr>
          <w:rFonts w:hint="eastAsia" w:ascii="微软雅黑" w:hAnsi="微软雅黑" w:eastAsia="微软雅黑" w:cs="微软雅黑"/>
          <w:kern w:val="0"/>
          <w:sz w:val="15"/>
          <w:szCs w:val="15"/>
          <w:lang w:val="en-US" w:eastAsia="zh-CN" w:bidi="ar"/>
        </w:rPr>
        <w:t>本</w:t>
      </w:r>
      <w:r>
        <w:rPr>
          <w:rFonts w:hint="eastAsia" w:ascii="微软雅黑" w:hAnsi="微软雅黑" w:eastAsia="微软雅黑" w:cs="微软雅黑"/>
          <w:b/>
          <w:bCs/>
          <w:kern w:val="0"/>
          <w:sz w:val="15"/>
          <w:szCs w:val="15"/>
          <w:lang w:val="en-US" w:eastAsia="zh-CN" w:bidi="ar"/>
        </w:rPr>
        <w:t>海外仓使用规则</w:t>
      </w:r>
      <w:r>
        <w:rPr>
          <w:rFonts w:hint="eastAsia" w:ascii="微软雅黑" w:hAnsi="微软雅黑" w:eastAsia="微软雅黑" w:cs="微软雅黑"/>
          <w:kern w:val="0"/>
          <w:sz w:val="15"/>
          <w:szCs w:val="15"/>
          <w:lang w:val="en-US" w:eastAsia="zh-CN" w:bidi="ar"/>
        </w:rPr>
        <w:t>涵盖</w:t>
      </w:r>
      <w:r>
        <w:rPr>
          <w:rFonts w:hint="eastAsia" w:ascii="微软雅黑" w:hAnsi="微软雅黑" w:eastAsia="微软雅黑" w:cs="微软雅黑"/>
          <w:b/>
          <w:bCs/>
          <w:kern w:val="0"/>
          <w:sz w:val="15"/>
          <w:szCs w:val="15"/>
          <w:lang w:val="en-US" w:eastAsia="zh-CN" w:bidi="ar"/>
        </w:rPr>
        <w:t>所有TikTok Shop跨境卖家，特别是使用海外仓储存和运输商品的卖家。</w:t>
      </w:r>
    </w:p>
    <w:p>
      <w:pPr>
        <w:pStyle w:val="2"/>
        <w:keepNext w:val="0"/>
        <w:keepLines w:val="0"/>
        <w:widowControl/>
        <w:numPr>
          <w:ilvl w:val="0"/>
          <w:numId w:val="1"/>
        </w:numPr>
        <w:suppressLineNumbers w:val="0"/>
        <w:ind w:left="0" w:leftChars="0" w:firstLine="420" w:firstLineChars="0"/>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海外仓的使用要求</w:t>
      </w:r>
    </w:p>
    <w:p>
      <w:pPr>
        <w:keepNext w:val="0"/>
        <w:keepLines w:val="0"/>
        <w:widowControl/>
        <w:suppressLineNumbers w:val="0"/>
        <w:jc w:val="left"/>
        <w:rPr>
          <w:rFonts w:hint="eastAsia" w:ascii="微软雅黑" w:hAnsi="微软雅黑" w:eastAsia="微软雅黑" w:cs="微软雅黑"/>
          <w:sz w:val="11"/>
          <w:szCs w:val="15"/>
        </w:rPr>
      </w:pPr>
      <w:r>
        <w:rPr>
          <w:rFonts w:hint="eastAsia" w:ascii="微软雅黑" w:hAnsi="微软雅黑" w:eastAsia="微软雅黑" w:cs="微软雅黑"/>
          <w:b/>
          <w:bCs/>
          <w:kern w:val="0"/>
          <w:sz w:val="15"/>
          <w:szCs w:val="15"/>
          <w:lang w:val="en-US" w:eastAsia="zh-CN" w:bidi="ar"/>
        </w:rPr>
        <w:t>重要提示：</w:t>
      </w:r>
      <w:r>
        <w:rPr>
          <w:rFonts w:hint="eastAsia" w:ascii="微软雅黑" w:hAnsi="微软雅黑" w:eastAsia="微软雅黑" w:cs="微软雅黑"/>
          <w:kern w:val="0"/>
          <w:sz w:val="15"/>
          <w:szCs w:val="15"/>
          <w:lang w:val="en-US" w:eastAsia="zh-CN" w:bidi="ar"/>
        </w:rPr>
        <w:t>目前，没有客户经理的跨境卖家无法使用海外仓来储存和运输商品。</w:t>
      </w:r>
    </w:p>
    <w:p>
      <w:pPr>
        <w:pStyle w:val="3"/>
        <w:keepNext w:val="0"/>
        <w:keepLines w:val="0"/>
        <w:widowControl/>
        <w:suppressLineNumbers w:val="0"/>
        <w:rPr>
          <w:rFonts w:hint="eastAsia" w:ascii="微软雅黑" w:hAnsi="微软雅黑" w:eastAsia="微软雅黑" w:cs="微软雅黑"/>
          <w:sz w:val="11"/>
          <w:szCs w:val="15"/>
        </w:rPr>
      </w:pPr>
      <w:r>
        <w:rPr>
          <w:rFonts w:hint="eastAsia" w:ascii="微软雅黑" w:hAnsi="微软雅黑" w:eastAsia="微软雅黑" w:cs="微软雅黑"/>
          <w:b/>
          <w:bCs/>
          <w:kern w:val="0"/>
          <w:sz w:val="15"/>
          <w:szCs w:val="15"/>
          <w:lang w:val="en-US" w:eastAsia="zh-CN" w:bidi="ar"/>
        </w:rPr>
        <w:t>店铺表现：</w:t>
      </w:r>
      <w:r>
        <w:rPr>
          <w:rFonts w:hint="eastAsia" w:ascii="微软雅黑" w:hAnsi="微软雅黑" w:eastAsia="微软雅黑" w:cs="微软雅黑"/>
          <w:kern w:val="0"/>
          <w:sz w:val="15"/>
          <w:szCs w:val="15"/>
          <w:lang w:val="en-US" w:eastAsia="zh-CN" w:bidi="ar"/>
        </w:rPr>
        <w:t>跨境卖家必须首先确保其店铺符合以下标准，以申请使用海外仓来储存和运输商品：</w:t>
      </w:r>
    </w:p>
    <w:p>
      <w:pPr>
        <w:keepNext w:val="0"/>
        <w:keepLines w:val="0"/>
        <w:widowControl/>
        <w:numPr>
          <w:ilvl w:val="0"/>
          <w:numId w:val="2"/>
        </w:numPr>
        <w:suppressLineNumbers w:val="0"/>
        <w:pBdr>
          <w:left w:val="none" w:color="auto" w:sz="0" w:space="0"/>
        </w:pBdr>
        <w:spacing w:before="0" w:beforeAutospacing="0" w:after="0" w:afterAutospacing="0" w:line="19" w:lineRule="atLeast"/>
        <w:ind w:left="420" w:leftChars="0" w:hanging="420" w:firstLineChars="0"/>
        <w:jc w:val="left"/>
        <w:rPr>
          <w:rFonts w:hint="eastAsia" w:ascii="微软雅黑" w:hAnsi="微软雅黑" w:eastAsia="微软雅黑" w:cs="微软雅黑"/>
          <w:sz w:val="11"/>
          <w:szCs w:val="15"/>
        </w:rPr>
      </w:pPr>
      <w:r>
        <w:rPr>
          <w:rFonts w:hint="eastAsia" w:ascii="微软雅黑" w:hAnsi="微软雅黑" w:eastAsia="微软雅黑" w:cs="微软雅黑"/>
          <w:sz w:val="11"/>
          <w:szCs w:val="15"/>
        </w:rPr>
        <w:t>违规分总数低于12</w:t>
      </w:r>
    </w:p>
    <w:p>
      <w:pPr>
        <w:keepNext w:val="0"/>
        <w:keepLines w:val="0"/>
        <w:widowControl/>
        <w:numPr>
          <w:ilvl w:val="0"/>
          <w:numId w:val="2"/>
        </w:numPr>
        <w:suppressLineNumbers w:val="0"/>
        <w:pBdr>
          <w:left w:val="none" w:color="auto" w:sz="0" w:space="0"/>
        </w:pBdr>
        <w:spacing w:before="0" w:beforeAutospacing="0" w:after="0" w:afterAutospacing="0" w:line="19" w:lineRule="atLeast"/>
        <w:ind w:left="420" w:leftChars="0" w:hanging="420" w:firstLineChars="0"/>
        <w:jc w:val="left"/>
        <w:rPr>
          <w:rFonts w:hint="eastAsia" w:ascii="微软雅黑" w:hAnsi="微软雅黑" w:eastAsia="微软雅黑" w:cs="微软雅黑"/>
          <w:sz w:val="11"/>
          <w:szCs w:val="15"/>
        </w:rPr>
      </w:pPr>
      <w:r>
        <w:rPr>
          <w:rFonts w:hint="eastAsia" w:ascii="微软雅黑" w:hAnsi="微软雅黑" w:eastAsia="微软雅黑" w:cs="微软雅黑"/>
          <w:sz w:val="11"/>
          <w:szCs w:val="15"/>
        </w:rPr>
        <w:t>ONRR低于1%</w:t>
      </w:r>
    </w:p>
    <w:p>
      <w:pPr>
        <w:rPr>
          <w:rFonts w:hint="eastAsia"/>
          <w:lang w:val="en-US" w:eastAsia="zh-CN"/>
        </w:rPr>
      </w:pPr>
    </w:p>
    <w:p>
      <w:pPr>
        <w:keepNext w:val="0"/>
        <w:keepLines w:val="0"/>
        <w:widowControl/>
        <w:suppressLineNumbers w:val="0"/>
        <w:jc w:val="left"/>
        <w:rPr>
          <w:rFonts w:hint="eastAsia" w:ascii="微软雅黑" w:hAnsi="微软雅黑" w:eastAsia="微软雅黑" w:cs="微软雅黑"/>
          <w:b/>
          <w:bCs/>
          <w:kern w:val="0"/>
          <w:sz w:val="15"/>
          <w:szCs w:val="15"/>
          <w:lang w:val="en-US" w:eastAsia="zh-CN" w:bidi="ar"/>
        </w:rPr>
      </w:pPr>
      <w:r>
        <w:rPr>
          <w:rFonts w:hint="eastAsia" w:ascii="微软雅黑" w:hAnsi="微软雅黑" w:eastAsia="微软雅黑" w:cs="微软雅黑"/>
          <w:b/>
          <w:bCs/>
          <w:kern w:val="0"/>
          <w:sz w:val="15"/>
          <w:szCs w:val="15"/>
          <w:lang w:val="en-US" w:eastAsia="zh-CN" w:bidi="ar"/>
        </w:rPr>
        <w:t>可能导致丧失海外仓使用权的违规行为：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center"/>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标准</w:t>
            </w:r>
          </w:p>
        </w:tc>
        <w:tc>
          <w:tcPr>
            <w:tcW w:w="4261" w:type="dxa"/>
          </w:tcPr>
          <w:p>
            <w:pPr>
              <w:keepNext w:val="0"/>
              <w:keepLines w:val="0"/>
              <w:widowControl/>
              <w:suppressLineNumbers w:val="0"/>
              <w:jc w:val="center"/>
              <w:rPr>
                <w:rFonts w:hint="default"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不活跃</w:t>
            </w:r>
          </w:p>
        </w:tc>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如果最近90天内没有从海外仓发货的记录，平台将取消卖家海外仓的使用权。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海外仓使用申请文件造假</w:t>
            </w:r>
          </w:p>
        </w:tc>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卖家不得伪造海外仓合同、海外仓仓储信息等。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欺诈性海外仓发货</w:t>
            </w:r>
          </w:p>
        </w:tc>
        <w:tc>
          <w:tcPr>
            <w:tcW w:w="4261" w:type="dxa"/>
          </w:tcPr>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卖家必须确保发货地点和海外仓的地址相同。</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欺诈性发货相关行为，包括但不限于：</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故意提供无效/虚假的跟踪号码或发货信息（如提供无效的运单号）。</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没有使用《TikTok Shop跨境买家订单发货规则》中规定的正确发货方式。</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谎称商品有库存，并将从海外仓发货，但实际上是从中国发货。</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欺诈性发货是一种严重的违规行为。一旦平台发现卖家存在相关行为，那么平台可永久取消卖家对海外仓的权限、暂时封禁卖家店铺一个月，并且对卖家累计36分违规分。</w:t>
            </w:r>
          </w:p>
          <w:p>
            <w:pPr>
              <w:keepNext w:val="0"/>
              <w:keepLines w:val="0"/>
              <w:widowControl/>
              <w:suppressLineNumbers w:val="0"/>
              <w:jc w:val="left"/>
              <w:rPr>
                <w:rFonts w:hint="eastAsia" w:ascii="微软雅黑" w:hAnsi="微软雅黑" w:eastAsia="微软雅黑" w:cs="微软雅黑"/>
                <w:b/>
                <w:bCs/>
                <w:kern w:val="44"/>
                <w:sz w:val="15"/>
                <w:szCs w:val="15"/>
                <w:vertAlign w:val="baseline"/>
                <w:lang w:val="en-US" w:eastAsia="zh-CN" w:bidi="ar"/>
              </w:rPr>
            </w:pPr>
            <w:r>
              <w:rPr>
                <w:rFonts w:hint="eastAsia" w:ascii="微软雅黑" w:hAnsi="微软雅黑" w:eastAsia="微软雅黑" w:cs="微软雅黑"/>
                <w:b/>
                <w:bCs/>
                <w:kern w:val="44"/>
                <w:sz w:val="15"/>
                <w:szCs w:val="15"/>
                <w:vertAlign w:val="baseline"/>
                <w:lang w:val="en-US" w:eastAsia="zh-CN" w:bidi="ar"/>
              </w:rPr>
              <w:t>针对美国跨境卖家，平台将永久封禁其店铺。</w:t>
            </w:r>
          </w:p>
        </w:tc>
      </w:tr>
    </w:tbl>
    <w:p>
      <w:pPr>
        <w:pStyle w:val="2"/>
        <w:keepNext w:val="0"/>
        <w:keepLines w:val="0"/>
        <w:widowControl/>
        <w:numPr>
          <w:ilvl w:val="0"/>
          <w:numId w:val="1"/>
        </w:numPr>
        <w:suppressLineNumbers w:val="0"/>
        <w:ind w:left="0" w:leftChars="0" w:firstLine="420" w:firstLineChars="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卖家订单履约SLA</w:t>
      </w:r>
    </w:p>
    <w:p>
      <w:pPr>
        <w:keepNext w:val="0"/>
        <w:keepLines w:val="0"/>
        <w:widowControl/>
        <w:suppressLineNumbers w:val="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TikTok Shop希望帮助卖家在节假日、大促等高订单量期间更好地进行订单履约。一个稳定有效的订单履约流程对于最大限度地提升买家满意度至关重要。为此，</w:t>
      </w:r>
      <w:r>
        <w:rPr>
          <w:rFonts w:hint="eastAsia" w:ascii="微软雅黑" w:hAnsi="微软雅黑" w:eastAsia="微软雅黑" w:cs="微软雅黑"/>
          <w:kern w:val="0"/>
          <w:sz w:val="15"/>
          <w:szCs w:val="15"/>
          <w:lang w:val="en-US" w:eastAsia="zh-CN" w:bidi="ar"/>
        </w:rPr>
        <w:t>平台</w:t>
      </w:r>
      <w:r>
        <w:rPr>
          <w:rFonts w:hint="default" w:ascii="微软雅黑" w:hAnsi="微软雅黑" w:eastAsia="微软雅黑" w:cs="微软雅黑"/>
          <w:kern w:val="0"/>
          <w:sz w:val="15"/>
          <w:szCs w:val="15"/>
          <w:lang w:val="en-US" w:eastAsia="zh-CN" w:bidi="ar"/>
        </w:rPr>
        <w:t>将提供以下几种履约服务级别协议（SLA）模式，供卖家选择：</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标准模式</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假期模式</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SLA延长模式</w:t>
      </w:r>
    </w:p>
    <w:p>
      <w:pPr>
        <w:keepNext w:val="0"/>
        <w:keepLines w:val="0"/>
        <w:widowControl/>
        <w:numPr>
          <w:ilvl w:val="0"/>
          <w:numId w:val="0"/>
        </w:numPr>
        <w:suppressLineNumbers w:val="0"/>
        <w:ind w:left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卖家必须按照平台要求的履约SLA完成发货：</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标准模式：对于“上门揽收”订单，卖家必须在初始订单生成后48小时内完成所有打包工作并在卖家中心将订单状态更新至“待发货-等待揽收”。</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对于“自寄”订单，卖家必须在初始订单生成后120小时内将包裹交给物流商并将订单状态更新至“已发货”。</w:t>
      </w:r>
    </w:p>
    <w:p>
      <w:pPr>
        <w:keepNext w:val="0"/>
        <w:keepLines w:val="0"/>
        <w:widowControl/>
        <w:numPr>
          <w:ilvl w:val="0"/>
          <w:numId w:val="3"/>
        </w:numPr>
        <w:suppressLineNumbers w:val="0"/>
        <w:ind w:left="420" w:leftChars="0" w:hanging="420" w:firstLineChars="0"/>
        <w:jc w:val="left"/>
        <w:rPr>
          <w:rFonts w:hint="default" w:ascii="微软雅黑" w:hAnsi="微软雅黑" w:eastAsia="微软雅黑" w:cs="微软雅黑"/>
          <w:kern w:val="0"/>
          <w:sz w:val="15"/>
          <w:szCs w:val="15"/>
          <w:lang w:val="en-US" w:eastAsia="zh-CN" w:bidi="ar"/>
        </w:rPr>
      </w:pPr>
      <w:r>
        <w:rPr>
          <w:rFonts w:hint="default" w:ascii="微软雅黑" w:hAnsi="微软雅黑" w:eastAsia="微软雅黑" w:cs="微软雅黑"/>
          <w:kern w:val="0"/>
          <w:sz w:val="15"/>
          <w:szCs w:val="15"/>
          <w:lang w:val="en-US" w:eastAsia="zh-CN" w:bidi="ar"/>
        </w:rPr>
        <w:t>SLA延长模式：订单必须在TikTok Shop指定的履约SLA内完成履约。</w:t>
      </w:r>
    </w:p>
    <w:p>
      <w:pPr>
        <w:keepNext w:val="0"/>
        <w:keepLines w:val="0"/>
        <w:widowControl/>
        <w:suppressLineNumbers w:val="0"/>
        <w:jc w:val="left"/>
        <w:rPr>
          <w:rFonts w:hint="eastAsia" w:ascii="微软雅黑" w:hAnsi="微软雅黑" w:eastAsia="微软雅黑" w:cs="微软雅黑"/>
          <w:kern w:val="0"/>
          <w:sz w:val="15"/>
          <w:szCs w:val="15"/>
          <w:lang w:val="en-US" w:eastAsia="zh-CN" w:bidi="ar"/>
        </w:rPr>
      </w:pPr>
    </w:p>
    <w:p>
      <w:pPr>
        <w:pStyle w:val="2"/>
        <w:keepNext w:val="0"/>
        <w:keepLines w:val="0"/>
        <w:widowControl/>
        <w:numPr>
          <w:ilvl w:val="0"/>
          <w:numId w:val="1"/>
        </w:numPr>
        <w:suppressLineNumbers w:val="0"/>
        <w:ind w:left="0" w:leftChars="0" w:firstLine="420" w:firstLineChars="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不同发货方式SLA</w:t>
      </w:r>
    </w:p>
    <w:p>
      <w:pPr>
        <w:pStyle w:val="3"/>
        <w:keepNext w:val="0"/>
        <w:keepLines w:val="0"/>
        <w:widowControl/>
        <w:numPr>
          <w:ilvl w:val="0"/>
          <w:numId w:val="3"/>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卖家自发货</w:t>
      </w:r>
    </w:p>
    <w:p>
      <w:pPr>
        <w:pStyle w:val="3"/>
        <w:keepNext w:val="0"/>
        <w:keepLines w:val="0"/>
        <w:widowControl/>
        <w:numPr>
          <w:ilvl w:val="0"/>
          <w:numId w:val="0"/>
        </w:numPr>
        <w:suppressLineNumbers w:val="0"/>
        <w:ind w:leftChars="0"/>
        <w:jc w:val="left"/>
        <w:outlineLvl w:val="1"/>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卖家必须：完成包裹打包，联系物流商进行包裹揽收。包裹揽收（包裹发货）后，卖家必须在卖家中心采取以下行动：更新订单状态为“已发货”。输入有效的物流追踪号。输入物流商名称。</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卖家必须在下单后120小时内（对于英国商家）或者3个工作日（对于美国商家）完成所有打包工作，并在卖家中心将订单状态更新为“已发货”。</w:t>
      </w:r>
    </w:p>
    <w:p>
      <w:pPr>
        <w:pStyle w:val="3"/>
        <w:keepNext w:val="0"/>
        <w:keepLines w:val="0"/>
        <w:widowControl/>
        <w:numPr>
          <w:ilvl w:val="0"/>
          <w:numId w:val="3"/>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 xml:space="preserve"> TikTok发货</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如果销售类型为跨境销售，则卖家有两种方法将包裹交给物流商：</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上门取件</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到点投放</w:t>
      </w:r>
    </w:p>
    <w:p>
      <w:pPr>
        <w:pStyle w:val="3"/>
        <w:keepNext w:val="0"/>
        <w:keepLines w:val="0"/>
        <w:widowControl/>
        <w:numPr>
          <w:ilvl w:val="0"/>
          <w:numId w:val="4"/>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 xml:space="preserve">  上门取件</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下单后48小时内。卖家必须：完成所有打包工作，并在卖家中心将订单状态更新为“待发货-等待揽收”承运人将收到通知，并在24小时内取走卖家的包裹。确保包裹已被物流商取走。包裹发出后，物流商将在系统中将订单状态更新为“已发货”。</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“已发货”状态会在卖家中心 → 订单管理页面中显示。如物流商配送延迟，卖家可通过“投诉及纠纷 - 物流供应商”向平台提交投诉工单。</w:t>
      </w:r>
    </w:p>
    <w:p>
      <w:pPr>
        <w:pStyle w:val="3"/>
        <w:keepNext w:val="0"/>
        <w:keepLines w:val="0"/>
        <w:widowControl/>
        <w:numPr>
          <w:ilvl w:val="0"/>
          <w:numId w:val="4"/>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 xml:space="preserve">  到点投放</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卖家必须完成所有打包工作，并在下单后48小时内在卖家中心将订单状态更新为“待发货-等待揽收”。状态更新后，卖家必须在24小时内将包裹放在指定的投放点。包裹投放后，物流商将揽收包裹并运送至TikTok Shop的仓库。包裹到达仓库后，系统将自动更新订单状态至“已发货”。卖家应及时检查以确保在下单后120小时内，订单状态已处于“已发货”状态。</w:t>
      </w:r>
    </w:p>
    <w:p>
      <w:pPr>
        <w:pStyle w:val="3"/>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如果卖家在下单后120小时内已成功投递包裹，但订单状态未更新至“已发货”，卖家可通过“投诉与纠纷 - 物流供应商”向平台客服团队提交工单。</w:t>
      </w:r>
    </w:p>
    <w:p>
      <w:pPr>
        <w:pStyle w:val="3"/>
        <w:keepNext w:val="0"/>
        <w:keepLines w:val="0"/>
        <w:widowControl/>
        <w:numPr>
          <w:ilvl w:val="0"/>
          <w:numId w:val="0"/>
        </w:numPr>
        <w:suppressLineNumbers w:val="0"/>
        <w:ind w:leftChars="0"/>
        <w:jc w:val="left"/>
        <w:outlineLvl w:val="1"/>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如果销售类型为海外仓销售，则卖家必须：</w:t>
      </w:r>
    </w:p>
    <w:p>
      <w:pPr>
        <w:pStyle w:val="3"/>
        <w:keepNext w:val="0"/>
        <w:keepLines w:val="0"/>
        <w:widowControl/>
        <w:numPr>
          <w:ilvl w:val="0"/>
          <w:numId w:val="5"/>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完成所有打包工作，并联系承运人揽件。</w:t>
      </w:r>
    </w:p>
    <w:p>
      <w:pPr>
        <w:pStyle w:val="3"/>
        <w:keepNext w:val="0"/>
        <w:keepLines w:val="0"/>
        <w:widowControl/>
        <w:numPr>
          <w:ilvl w:val="0"/>
          <w:numId w:val="5"/>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在包裹揽收（包裹发货）完成后，卖家必须在卖家中心完成以下操作：将订单状态更新为“已发货”。输入有效的运输追踪号码。输入承运人名称。</w:t>
      </w:r>
    </w:p>
    <w:p>
      <w:pPr>
        <w:pStyle w:val="3"/>
        <w:keepNext w:val="0"/>
        <w:keepLines w:val="0"/>
        <w:widowControl/>
        <w:numPr>
          <w:ilvl w:val="0"/>
          <w:numId w:val="5"/>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卖家必须在下单后120小时内完成所有打包工作，并在卖家中心将订单状态更新为“已发货”。</w:t>
      </w:r>
    </w:p>
    <w:p>
      <w:pPr>
        <w:pStyle w:val="2"/>
        <w:keepNext w:val="0"/>
        <w:keepLines w:val="0"/>
        <w:widowControl/>
        <w:numPr>
          <w:ilvl w:val="0"/>
          <w:numId w:val="1"/>
        </w:numPr>
        <w:suppressLineNumbers w:val="0"/>
        <w:ind w:left="0" w:leftChars="0" w:firstLine="420" w:firstLineChars="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val="0"/>
          <w:bCs w:val="0"/>
          <w:kern w:val="0"/>
          <w:sz w:val="15"/>
          <w:szCs w:val="15"/>
          <w:lang w:val="en-US" w:eastAsia="zh-CN" w:bidi="ar"/>
        </w:rPr>
        <w:t xml:space="preserve"> </w:t>
      </w:r>
      <w:r>
        <w:rPr>
          <w:rFonts w:hint="default" w:ascii="微软雅黑" w:hAnsi="微软雅黑" w:eastAsia="微软雅黑" w:cs="微软雅黑"/>
          <w:b w:val="0"/>
          <w:bCs w:val="0"/>
          <w:kern w:val="0"/>
          <w:sz w:val="15"/>
          <w:szCs w:val="15"/>
          <w:lang w:val="en-US" w:eastAsia="zh-CN" w:bidi="ar"/>
        </w:rPr>
        <w:t> </w:t>
      </w:r>
      <w:bookmarkStart w:id="0" w:name="_Toc23639"/>
      <w:bookmarkStart w:id="1" w:name="_Toc7786"/>
      <w:r>
        <w:rPr>
          <w:rFonts w:hint="eastAsia" w:ascii="微软雅黑" w:hAnsi="微软雅黑" w:eastAsia="微软雅黑" w:cs="微软雅黑"/>
          <w:b/>
          <w:bCs/>
          <w:sz w:val="24"/>
          <w:szCs w:val="24"/>
          <w:lang w:val="en-US" w:eastAsia="zh-CN"/>
        </w:rPr>
        <w:t>卖家发货（海外仓） 物流承运商要求</w:t>
      </w:r>
    </w:p>
    <w:p>
      <w:pPr>
        <w:widowControl w:val="0"/>
        <w:numPr>
          <w:ilvl w:val="0"/>
          <w:numId w:val="0"/>
        </w:numPr>
        <w:ind w:leftChars="0"/>
        <w:jc w:val="both"/>
        <w:outlineLvl w:val="9"/>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如果跨境卖家在海外仓存有货物，并且选择“商家发货”模式完成订单，则必须满足以下标准：</w:t>
      </w:r>
    </w:p>
    <w:p>
      <w:pPr>
        <w:widowControl w:val="0"/>
        <w:numPr>
          <w:ilvl w:val="0"/>
          <w:numId w:val="6"/>
        </w:numPr>
        <w:ind w:left="420" w:leftChars="0" w:hanging="420" w:firstLineChars="0"/>
        <w:jc w:val="both"/>
        <w:outlineLvl w:val="9"/>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 xml:space="preserve">卖家只能从TikTok Shop 英国认可物流承运商名单中选择物流商。 </w:t>
      </w:r>
    </w:p>
    <w:p>
      <w:pPr>
        <w:widowControl w:val="0"/>
        <w:numPr>
          <w:ilvl w:val="0"/>
          <w:numId w:val="6"/>
        </w:numPr>
        <w:ind w:left="420" w:leftChars="0" w:hanging="420" w:firstLineChars="0"/>
        <w:jc w:val="both"/>
        <w:outlineLvl w:val="9"/>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 xml:space="preserve">卖家必须在卖家中心为所有发货商品上传有效的订单追踪ID。 </w:t>
      </w:r>
    </w:p>
    <w:p>
      <w:pPr>
        <w:widowControl w:val="0"/>
        <w:numPr>
          <w:ilvl w:val="0"/>
          <w:numId w:val="6"/>
        </w:numPr>
        <w:ind w:left="420" w:leftChars="0" w:hanging="420" w:firstLineChars="0"/>
        <w:jc w:val="both"/>
        <w:outlineLvl w:val="9"/>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确保在下单后120h内，卖家中心的订单状态更新为“已发货”。如在规定时间两倍内，物流商仍未妥投，则包裹被视为丢失。</w:t>
      </w:r>
    </w:p>
    <w:bookmarkEnd w:id="0"/>
    <w:bookmarkEnd w:id="1"/>
    <w:p>
      <w:pPr>
        <w:widowControl w:val="0"/>
        <w:numPr>
          <w:ilvl w:val="0"/>
          <w:numId w:val="0"/>
        </w:numPr>
        <w:ind w:leftChars="0"/>
        <w:jc w:val="both"/>
        <w:outlineLvl w:val="9"/>
        <w:rPr>
          <w:rFonts w:hint="eastAsia" w:ascii="微软雅黑" w:hAnsi="微软雅黑" w:eastAsia="微软雅黑" w:cs="微软雅黑"/>
          <w:b w:val="0"/>
          <w:bCs w:val="0"/>
          <w:kern w:val="0"/>
          <w:sz w:val="15"/>
          <w:szCs w:val="15"/>
          <w:lang w:val="en-US" w:eastAsia="zh-CN" w:bidi="ar"/>
        </w:rPr>
      </w:pPr>
      <w:bookmarkStart w:id="2" w:name="_Toc22335"/>
      <w:bookmarkStart w:id="3" w:name="_Toc15594"/>
      <w:r>
        <w:rPr>
          <w:rFonts w:hint="eastAsia" w:ascii="微软雅黑" w:hAnsi="微软雅黑" w:eastAsia="微软雅黑" w:cs="微软雅黑"/>
          <w:b w:val="0"/>
          <w:bCs w:val="0"/>
          <w:kern w:val="0"/>
          <w:sz w:val="15"/>
          <w:szCs w:val="15"/>
          <w:lang w:val="en-US" w:eastAsia="zh-CN" w:bidi="ar"/>
        </w:rPr>
        <w:t>TikTok Shop英国认可的物流承运商</w:t>
      </w:r>
      <w:bookmarkEnd w:id="2"/>
      <w:bookmarkEnd w:id="3"/>
      <w:bookmarkStart w:id="4" w:name="_Toc25703"/>
      <w:bookmarkStart w:id="5" w:name="_Toc9887"/>
      <w:bookmarkStart w:id="6" w:name="_Toc23764"/>
      <w:r>
        <w:rPr>
          <w:rFonts w:hint="eastAsia" w:ascii="微软雅黑" w:hAnsi="微软雅黑" w:eastAsia="微软雅黑" w:cs="微软雅黑"/>
          <w:b w:val="0"/>
          <w:bCs w:val="0"/>
          <w:kern w:val="0"/>
          <w:sz w:val="15"/>
          <w:szCs w:val="15"/>
          <w:lang w:val="en-US" w:eastAsia="zh-CN" w:bidi="ar"/>
        </w:rPr>
        <w:t>：</w:t>
      </w:r>
      <w:bookmarkEnd w:id="4"/>
      <w:bookmarkEnd w:id="5"/>
      <w:bookmarkEnd w:id="6"/>
    </w:p>
    <w:p>
      <w:pPr>
        <w:widowControl w:val="0"/>
        <w:numPr>
          <w:ilvl w:val="0"/>
          <w:numId w:val="0"/>
        </w:numPr>
        <w:jc w:val="both"/>
        <w:outlineLvl w:val="9"/>
        <w:rPr>
          <w:rFonts w:hint="eastAsia" w:asciiTheme="minorEastAsia" w:hAnsiTheme="minorEastAsia" w:cstheme="minorEastAsia"/>
          <w:b w:val="0"/>
          <w:bCs w:val="0"/>
          <w:sz w:val="22"/>
          <w:szCs w:val="28"/>
          <w:lang w:val="en-US" w:eastAsia="zh-CN"/>
        </w:rPr>
      </w:pPr>
    </w:p>
    <w:p>
      <w:pPr>
        <w:widowControl w:val="0"/>
        <w:numPr>
          <w:ilvl w:val="0"/>
          <w:numId w:val="0"/>
        </w:numPr>
        <w:jc w:val="both"/>
        <w:outlineLvl w:val="9"/>
      </w:pPr>
      <w:bookmarkStart w:id="7" w:name="_Toc7384"/>
      <w:bookmarkStart w:id="8" w:name="_Toc7806"/>
      <w:bookmarkStart w:id="9" w:name="_Toc22995"/>
      <w:r>
        <w:drawing>
          <wp:inline distT="0" distB="0" distL="114300" distR="114300">
            <wp:extent cx="3854450" cy="2104390"/>
            <wp:effectExtent l="0" t="0" r="1270" b="13970"/>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4"/>
                    <a:stretch>
                      <a:fillRect/>
                    </a:stretch>
                  </pic:blipFill>
                  <pic:spPr>
                    <a:xfrm>
                      <a:off x="0" y="0"/>
                      <a:ext cx="3854450" cy="2104390"/>
                    </a:xfrm>
                    <a:prstGeom prst="rect">
                      <a:avLst/>
                    </a:prstGeom>
                    <a:noFill/>
                    <a:ln>
                      <a:noFill/>
                    </a:ln>
                  </pic:spPr>
                </pic:pic>
              </a:graphicData>
            </a:graphic>
          </wp:inline>
        </w:drawing>
      </w:r>
      <w:bookmarkEnd w:id="7"/>
      <w:bookmarkEnd w:id="8"/>
      <w:bookmarkEnd w:id="9"/>
    </w:p>
    <w:p>
      <w:pPr>
        <w:pStyle w:val="2"/>
        <w:keepNext w:val="0"/>
        <w:keepLines w:val="0"/>
        <w:widowControl/>
        <w:suppressLineNumbers w:val="0"/>
        <w:spacing w:beforeAutospacing="0" w:afterAutospacing="0"/>
        <w:rPr>
          <w:rFonts w:hint="eastAsia" w:ascii="宋体" w:hAnsi="宋体" w:eastAsia="宋体" w:cs="宋体"/>
          <w:b w:val="0"/>
          <w:bCs w:val="0"/>
          <w:kern w:val="0"/>
          <w:sz w:val="24"/>
          <w:szCs w:val="24"/>
          <w:lang w:val="en-US" w:eastAsia="zh-CN" w:bidi="ar"/>
        </w:rPr>
      </w:pPr>
      <w:r>
        <w:rPr>
          <w:rFonts w:hint="default" w:ascii="微软雅黑" w:hAnsi="微软雅黑" w:eastAsia="微软雅黑" w:cs="微软雅黑"/>
          <w:b w:val="0"/>
          <w:bCs w:val="0"/>
          <w:kern w:val="0"/>
          <w:sz w:val="15"/>
          <w:szCs w:val="15"/>
          <w:lang w:val="en-US" w:eastAsia="zh-CN" w:bidi="ar"/>
        </w:rPr>
        <w:t>关于认可物流承运商、服务和有效订单追踪ID的一些例子</w:t>
      </w:r>
      <w:r>
        <w:rPr>
          <w:rFonts w:hint="eastAsia" w:ascii="微软雅黑" w:hAnsi="微软雅黑" w:eastAsia="微软雅黑" w:cs="微软雅黑"/>
          <w:b w:val="0"/>
          <w:bCs w:val="0"/>
          <w:kern w:val="0"/>
          <w:sz w:val="15"/>
          <w:szCs w:val="15"/>
          <w:lang w:val="en-US" w:eastAsia="zh-CN" w:bidi="ar"/>
        </w:rPr>
        <w:t>：</w:t>
      </w:r>
      <w:r>
        <w:rPr>
          <w:rFonts w:hint="eastAsia" w:ascii="宋体" w:hAnsi="宋体" w:eastAsia="宋体" w:cs="宋体"/>
          <w:b w:val="0"/>
          <w:bCs w:val="0"/>
          <w:kern w:val="0"/>
          <w:sz w:val="24"/>
          <w:szCs w:val="24"/>
          <w:lang w:val="en-US" w:eastAsia="zh-CN" w:bidi="ar"/>
        </w:rPr>
        <w:fldChar w:fldCharType="begin"/>
      </w:r>
      <w:r>
        <w:rPr>
          <w:rFonts w:hint="eastAsia" w:ascii="宋体" w:hAnsi="宋体" w:eastAsia="宋体" w:cs="宋体"/>
          <w:b w:val="0"/>
          <w:bCs w:val="0"/>
          <w:kern w:val="0"/>
          <w:sz w:val="24"/>
          <w:szCs w:val="24"/>
          <w:lang w:val="en-US" w:eastAsia="zh-CN" w:bidi="ar"/>
        </w:rPr>
        <w:instrText xml:space="preserve"> HYPERLINK "https://seller.tiktokglobalshop.com/university/essay?knowledge_id=6837857193461506&amp;role=1&amp;identity=1&amp;anchor_link=EAD900D5" </w:instrText>
      </w:r>
      <w:r>
        <w:rPr>
          <w:rFonts w:hint="eastAsia" w:ascii="宋体" w:hAnsi="宋体" w:eastAsia="宋体" w:cs="宋体"/>
          <w:b w:val="0"/>
          <w:bCs w:val="0"/>
          <w:kern w:val="0"/>
          <w:sz w:val="24"/>
          <w:szCs w:val="24"/>
          <w:lang w:val="en-US" w:eastAsia="zh-CN" w:bidi="ar"/>
        </w:rPr>
        <w:fldChar w:fldCharType="separate"/>
      </w:r>
      <w:r>
        <w:rPr>
          <w:rStyle w:val="9"/>
          <w:rFonts w:hint="eastAsia" w:ascii="宋体" w:hAnsi="宋体" w:eastAsia="宋体" w:cs="宋体"/>
          <w:b w:val="0"/>
          <w:bCs w:val="0"/>
          <w:kern w:val="0"/>
          <w:sz w:val="24"/>
          <w:szCs w:val="24"/>
          <w:lang w:val="en-US" w:eastAsia="zh-CN" w:bidi="ar"/>
        </w:rPr>
        <w:t>https://seller.tiktokglobalshop.com/university/essay?knowledge_id=6837857193461506&amp;role=1&amp;identity=1&amp;anchor_link=EAD900D5</w:t>
      </w:r>
      <w:r>
        <w:rPr>
          <w:rFonts w:hint="eastAsia" w:ascii="宋体" w:hAnsi="宋体" w:eastAsia="宋体" w:cs="宋体"/>
          <w:b w:val="0"/>
          <w:bCs w:val="0"/>
          <w:kern w:val="0"/>
          <w:sz w:val="24"/>
          <w:szCs w:val="24"/>
          <w:lang w:val="en-US" w:eastAsia="zh-CN" w:bidi="ar"/>
        </w:rPr>
        <w:fldChar w:fldCharType="end"/>
      </w:r>
    </w:p>
    <w:p>
      <w:pPr>
        <w:pStyle w:val="3"/>
        <w:keepNext w:val="0"/>
        <w:keepLines w:val="0"/>
        <w:widowControl/>
        <w:suppressLineNumbers w:val="0"/>
        <w:jc w:val="left"/>
        <w:rPr>
          <w:rFonts w:hint="default"/>
          <w:lang w:val="en-US" w:eastAsia="zh-CN"/>
        </w:rPr>
      </w:pPr>
      <w:r>
        <w:rPr>
          <w:rFonts w:hint="eastAsia" w:ascii="微软雅黑" w:hAnsi="微软雅黑" w:eastAsia="微软雅黑" w:cs="微软雅黑"/>
          <w:b w:val="0"/>
          <w:bCs w:val="0"/>
          <w:kern w:val="0"/>
          <w:sz w:val="15"/>
          <w:szCs w:val="15"/>
          <w:lang w:val="en-US" w:eastAsia="zh-CN" w:bidi="ar"/>
        </w:rPr>
        <w:t>TikTok Shop美国认可的物流承运商：USPS UPS FedEx</w:t>
      </w:r>
    </w:p>
    <w:p>
      <w:pPr>
        <w:pStyle w:val="2"/>
        <w:keepNext w:val="0"/>
        <w:keepLines w:val="0"/>
        <w:widowControl/>
        <w:numPr>
          <w:ilvl w:val="0"/>
          <w:numId w:val="1"/>
        </w:numPr>
        <w:suppressLineNumbers w:val="0"/>
        <w:ind w:left="0" w:leftChars="0" w:firstLine="420" w:firstLineChars="0"/>
        <w:jc w:val="left"/>
        <w:rPr>
          <w:rFonts w:hint="eastAsia" w:ascii="微软雅黑" w:hAnsi="微软雅黑" w:eastAsia="微软雅黑" w:cs="微软雅黑"/>
          <w:b/>
          <w:bCs/>
          <w:sz w:val="24"/>
          <w:szCs w:val="24"/>
          <w:lang w:val="en-US" w:eastAsia="zh-CN"/>
        </w:rPr>
      </w:pPr>
      <w:bookmarkStart w:id="10" w:name="_Toc22828"/>
      <w:bookmarkStart w:id="11" w:name="_Toc10697"/>
      <w:r>
        <w:rPr>
          <w:rFonts w:hint="eastAsia" w:ascii="微软雅黑" w:hAnsi="微软雅黑" w:eastAsia="微软雅黑" w:cs="微软雅黑"/>
          <w:b/>
          <w:bCs/>
          <w:sz w:val="24"/>
          <w:szCs w:val="24"/>
          <w:lang w:val="en-US" w:eastAsia="zh-CN"/>
        </w:rPr>
        <w:t>违规行为及说明</w:t>
      </w:r>
      <w:bookmarkEnd w:id="10"/>
      <w:bookmarkEnd w:id="11"/>
    </w:p>
    <w:p>
      <w:pPr>
        <w:pStyle w:val="3"/>
        <w:keepNext w:val="0"/>
        <w:keepLines w:val="0"/>
        <w:widowControl/>
        <w:numPr>
          <w:ilvl w:val="0"/>
          <w:numId w:val="3"/>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滥用买家信息</w:t>
      </w:r>
    </w:p>
    <w:p>
      <w:pPr>
        <w:pStyle w:val="3"/>
        <w:keepNext w:val="0"/>
        <w:keepLines w:val="0"/>
        <w:widowControl/>
        <w:numPr>
          <w:ilvl w:val="0"/>
          <w:numId w:val="0"/>
        </w:numPr>
        <w:suppressLineNumbers w:val="0"/>
        <w:ind w:leftChars="0"/>
        <w:jc w:val="left"/>
        <w:outlineLvl w:val="1"/>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履约过程中，卖家将获得买家的敏感信息（如姓名和地址）。非常重要的一点是，卖家必须保护买家数据并遵守TikTok隐私政策（</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"https://seller-my.tiktok.com/university/article/agreement?knowledge_id=10008258"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英国</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"https://seller-uk.tiktok.com/university/article/agreement?knowledge_id=10001432"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马来西亚</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"https://seller-vn.tiktok.com/university/article/agreement?knowledge_id=10008265"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越南</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"https://seller-th.tiktok.com/university/article/agreement?knowledge_id=10008260"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泰国</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"https://seller-ph.tiktok.com/university/article/agreement?knowledge_id=10012599"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菲律宾/</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"https://seller-sg.tiktok.com/university/article/agreement?knowledge_id=10011081"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新加坡</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w:t>
      </w:r>
      <w:r>
        <w:rPr>
          <w:rFonts w:hint="eastAsia" w:ascii="微软雅黑" w:hAnsi="微软雅黑" w:eastAsia="微软雅黑" w:cs="微软雅黑"/>
          <w:b w:val="0"/>
          <w:bCs w:val="0"/>
          <w:kern w:val="0"/>
          <w:sz w:val="15"/>
          <w:szCs w:val="15"/>
          <w:lang w:val="en-US" w:eastAsia="zh-CN" w:bidi="ar"/>
        </w:rPr>
        <w:fldChar w:fldCharType="begin"/>
      </w:r>
      <w:r>
        <w:rPr>
          <w:rFonts w:hint="eastAsia" w:ascii="微软雅黑" w:hAnsi="微软雅黑" w:eastAsia="微软雅黑" w:cs="微软雅黑"/>
          <w:b w:val="0"/>
          <w:bCs w:val="0"/>
          <w:kern w:val="0"/>
          <w:sz w:val="15"/>
          <w:szCs w:val="15"/>
          <w:lang w:val="en-US" w:eastAsia="zh-CN" w:bidi="ar"/>
        </w:rPr>
        <w:instrText xml:space="preserve"> HYPERLINK "https://www.tiktok.com/legal/page/us/privacy-policy/en" \t "_blank" </w:instrText>
      </w:r>
      <w:r>
        <w:rPr>
          <w:rFonts w:hint="eastAsia" w:ascii="微软雅黑" w:hAnsi="微软雅黑" w:eastAsia="微软雅黑" w:cs="微软雅黑"/>
          <w:b w:val="0"/>
          <w:bCs w:val="0"/>
          <w:kern w:val="0"/>
          <w:sz w:val="15"/>
          <w:szCs w:val="15"/>
          <w:lang w:val="en-US" w:eastAsia="zh-CN" w:bidi="ar"/>
        </w:rPr>
        <w:fldChar w:fldCharType="separate"/>
      </w:r>
      <w:r>
        <w:rPr>
          <w:rFonts w:hint="eastAsia" w:ascii="微软雅黑" w:hAnsi="微软雅黑" w:eastAsia="微软雅黑" w:cs="微软雅黑"/>
          <w:b w:val="0"/>
          <w:bCs w:val="0"/>
          <w:kern w:val="0"/>
          <w:sz w:val="15"/>
          <w:szCs w:val="15"/>
          <w:lang w:val="en-US" w:eastAsia="zh-CN" w:bidi="ar"/>
        </w:rPr>
        <w:t>美国</w:t>
      </w:r>
      <w:r>
        <w:rPr>
          <w:rFonts w:hint="eastAsia" w:ascii="微软雅黑" w:hAnsi="微软雅黑" w:eastAsia="微软雅黑" w:cs="微软雅黑"/>
          <w:b w:val="0"/>
          <w:bCs w:val="0"/>
          <w:kern w:val="0"/>
          <w:sz w:val="15"/>
          <w:szCs w:val="15"/>
          <w:lang w:val="en-US" w:eastAsia="zh-CN" w:bidi="ar"/>
        </w:rPr>
        <w:fldChar w:fldCharType="end"/>
      </w:r>
      <w:r>
        <w:rPr>
          <w:rFonts w:hint="eastAsia" w:ascii="微软雅黑" w:hAnsi="微软雅黑" w:eastAsia="微软雅黑" w:cs="微软雅黑"/>
          <w:b w:val="0"/>
          <w:bCs w:val="0"/>
          <w:kern w:val="0"/>
          <w:sz w:val="15"/>
          <w:szCs w:val="15"/>
          <w:lang w:val="en-US" w:eastAsia="zh-CN" w:bidi="ar"/>
        </w:rPr>
        <w:t>）。卖家有义务始终对与买家之间的交流记录进行保密。所有卖家必须遵守《TikTok Shop禁售商品规则》，不得销售或运输任何禁售商品。此外，物流商对于危险材料或危险商品可能会有额外规定。</w:t>
      </w:r>
    </w:p>
    <w:p>
      <w:pPr>
        <w:keepNext w:val="0"/>
        <w:keepLines w:val="0"/>
        <w:widowControl/>
        <w:suppressLineNumbers w:val="0"/>
        <w:jc w:val="left"/>
        <w:rPr>
          <w:rFonts w:hint="eastAsia" w:ascii="微软雅黑" w:hAnsi="微软雅黑" w:eastAsia="微软雅黑" w:cs="微软雅黑"/>
          <w:b w:val="0"/>
          <w:bCs w:val="0"/>
          <w:kern w:val="0"/>
          <w:sz w:val="15"/>
          <w:szCs w:val="15"/>
          <w:lang w:val="en-US" w:eastAsia="zh-CN" w:bidi="ar"/>
        </w:rPr>
      </w:pPr>
    </w:p>
    <w:p>
      <w:pPr>
        <w:keepNext w:val="0"/>
        <w:keepLines w:val="0"/>
        <w:widowControl/>
        <w:numPr>
          <w:ilvl w:val="0"/>
          <w:numId w:val="3"/>
        </w:numPr>
        <w:suppressLineNumbers w:val="0"/>
        <w:ind w:left="420" w:leftChars="0" w:hanging="420"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虚假发货</w:t>
      </w:r>
    </w:p>
    <w:p>
      <w:pPr>
        <w:keepNext w:val="0"/>
        <w:keepLines w:val="0"/>
        <w:widowControl/>
        <w:numPr>
          <w:ilvl w:val="0"/>
          <w:numId w:val="0"/>
        </w:numPr>
        <w:suppressLineNumbers w:val="0"/>
        <w:ind w:left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不允许任何形式的虚假发货。典型的虚假发货行为包括但不限于：</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运送空包裹。</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少发货。</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运送不符合商品详情页或订单详情页描述的商品。</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伪造仓库地址、路线、收件人信息、收货地址等物流标签信息。</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虚假的物流状态（如：货运单号无效，货运单号重复，货运单号提供24小时后仍未更新物流信息等)</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买家的收货地址与物流目的地不一致。</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订单数据与物流数据不一致。</w:t>
      </w:r>
    </w:p>
    <w:p>
      <w:pPr>
        <w:keepNext w:val="0"/>
        <w:keepLines w:val="0"/>
        <w:widowControl/>
        <w:numPr>
          <w:ilvl w:val="0"/>
          <w:numId w:val="7"/>
        </w:numPr>
        <w:suppressLineNumbers w:val="0"/>
        <w:ind w:left="425" w:leftChars="0" w:hanging="425" w:firstLineChars="0"/>
        <w:jc w:val="left"/>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其他物流信息不准确或错误的情况。</w:t>
      </w:r>
    </w:p>
    <w:p>
      <w:pPr>
        <w:keepNext w:val="0"/>
        <w:keepLines w:val="0"/>
        <w:widowControl/>
        <w:numPr>
          <w:ilvl w:val="0"/>
          <w:numId w:val="0"/>
        </w:numPr>
        <w:suppressLineNumbers w:val="0"/>
        <w:ind w:leftChars="0"/>
        <w:jc w:val="left"/>
        <w:rPr>
          <w:rFonts w:hint="eastAsia" w:ascii="微软雅黑" w:hAnsi="微软雅黑" w:eastAsia="微软雅黑" w:cs="微软雅黑"/>
          <w:b w:val="0"/>
          <w:bCs w:val="0"/>
          <w:kern w:val="0"/>
          <w:sz w:val="15"/>
          <w:szCs w:val="15"/>
          <w:lang w:val="en-US" w:eastAsia="zh-CN" w:bidi="ar"/>
        </w:rPr>
      </w:pPr>
    </w:p>
    <w:p>
      <w:pPr>
        <w:widowControl w:val="0"/>
        <w:numPr>
          <w:ilvl w:val="0"/>
          <w:numId w:val="0"/>
        </w:numPr>
        <w:ind w:leftChars="0"/>
        <w:jc w:val="both"/>
        <w:outlineLvl w:val="9"/>
        <w:rPr>
          <w:rFonts w:hint="eastAsia" w:ascii="微软雅黑" w:hAnsi="微软雅黑" w:eastAsia="微软雅黑" w:cs="微软雅黑"/>
          <w:b/>
          <w:bCs/>
          <w:kern w:val="0"/>
          <w:sz w:val="20"/>
          <w:szCs w:val="20"/>
          <w:lang w:val="en-US" w:eastAsia="zh-CN" w:bidi="ar"/>
        </w:rPr>
      </w:pPr>
      <w:bookmarkStart w:id="12" w:name="_Toc21745"/>
      <w:bookmarkStart w:id="13" w:name="_Toc7531"/>
      <w:r>
        <w:rPr>
          <w:rFonts w:hint="eastAsia" w:ascii="微软雅黑" w:hAnsi="微软雅黑" w:eastAsia="微软雅黑" w:cs="微软雅黑"/>
          <w:b/>
          <w:bCs/>
          <w:kern w:val="0"/>
          <w:sz w:val="20"/>
          <w:szCs w:val="20"/>
          <w:lang w:val="en-US" w:eastAsia="zh-CN" w:bidi="ar"/>
        </w:rPr>
        <w:t>跨境卖家违规处罚规则</w:t>
      </w:r>
      <w:bookmarkEnd w:id="12"/>
      <w:bookmarkEnd w:id="13"/>
      <w:bookmarkStart w:id="14" w:name="_Toc17794"/>
      <w:bookmarkStart w:id="15" w:name="_Toc6170"/>
    </w:p>
    <w:p>
      <w:pPr>
        <w:widowControl w:val="0"/>
        <w:numPr>
          <w:ilvl w:val="0"/>
          <w:numId w:val="0"/>
        </w:numPr>
        <w:ind w:leftChars="0"/>
        <w:jc w:val="both"/>
        <w:outlineLvl w:val="9"/>
        <w:rPr>
          <w:rFonts w:hint="eastAsia"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val="0"/>
          <w:bCs w:val="0"/>
          <w:kern w:val="0"/>
          <w:sz w:val="15"/>
          <w:szCs w:val="15"/>
          <w:lang w:val="en-US" w:eastAsia="zh-CN" w:bidi="ar"/>
        </w:rPr>
        <w:t>违规分是卖家在违反</w:t>
      </w:r>
      <w:r>
        <w:rPr>
          <w:rFonts w:hint="default" w:ascii="微软雅黑" w:hAnsi="微软雅黑" w:eastAsia="微软雅黑" w:cs="微软雅黑"/>
          <w:b w:val="0"/>
          <w:bCs w:val="0"/>
          <w:kern w:val="0"/>
          <w:sz w:val="15"/>
          <w:szCs w:val="15"/>
          <w:lang w:val="en-US" w:eastAsia="zh-CN" w:bidi="ar"/>
        </w:rPr>
        <w:t>TikTok Shop</w:t>
      </w:r>
      <w:r>
        <w:rPr>
          <w:rFonts w:hint="eastAsia" w:ascii="微软雅黑" w:hAnsi="微软雅黑" w:eastAsia="微软雅黑" w:cs="微软雅黑"/>
          <w:b w:val="0"/>
          <w:bCs w:val="0"/>
          <w:kern w:val="0"/>
          <w:sz w:val="15"/>
          <w:szCs w:val="15"/>
          <w:lang w:val="en-US" w:eastAsia="zh-CN" w:bidi="ar"/>
        </w:rPr>
        <w:t>的政策和规则后得到的处罚分。卖家账号得到的违规分与其违规行为的严重程度和影响有关。具体处罚标准有：</w:t>
      </w:r>
      <w:bookmarkEnd w:id="14"/>
      <w:bookmarkEnd w:id="15"/>
      <w:bookmarkStart w:id="16" w:name="_Toc27290"/>
      <w:bookmarkStart w:id="17" w:name="_Toc28150"/>
    </w:p>
    <w:p>
      <w:pPr>
        <w:widowControl w:val="0"/>
        <w:numPr>
          <w:ilvl w:val="0"/>
          <w:numId w:val="0"/>
        </w:numPr>
        <w:ind w:leftChars="0"/>
        <w:jc w:val="both"/>
        <w:outlineLvl w:val="9"/>
        <w:rPr>
          <w:rFonts w:hint="eastAsia" w:ascii="微软雅黑" w:hAnsi="微软雅黑" w:eastAsia="微软雅黑" w:cs="微软雅黑"/>
          <w:b w:val="0"/>
          <w:bCs w:val="0"/>
          <w:kern w:val="0"/>
          <w:sz w:val="15"/>
          <w:szCs w:val="15"/>
          <w:lang w:val="en-US" w:eastAsia="zh-CN" w:bidi="ar"/>
        </w:rPr>
      </w:pPr>
    </w:p>
    <w:p>
      <w:pPr>
        <w:widowControl w:val="0"/>
        <w:numPr>
          <w:ilvl w:val="0"/>
          <w:numId w:val="8"/>
        </w:numPr>
        <w:ind w:left="425" w:leftChars="0" w:hanging="425" w:firstLineChars="0"/>
        <w:jc w:val="both"/>
        <w:outlineLvl w:val="9"/>
        <w:rPr>
          <w:rFonts w:hint="default" w:ascii="微软雅黑" w:hAnsi="微软雅黑" w:eastAsia="微软雅黑" w:cs="微软雅黑"/>
          <w:b w:val="0"/>
          <w:bCs w:val="0"/>
          <w:kern w:val="0"/>
          <w:sz w:val="15"/>
          <w:szCs w:val="15"/>
          <w:lang w:val="en-US" w:eastAsia="zh-CN" w:bidi="ar"/>
        </w:rPr>
      </w:pPr>
      <w:r>
        <w:rPr>
          <w:rFonts w:hint="default" w:ascii="微软雅黑" w:hAnsi="微软雅黑" w:eastAsia="微软雅黑" w:cs="微软雅黑"/>
          <w:b w:val="0"/>
          <w:bCs w:val="0"/>
          <w:kern w:val="0"/>
          <w:sz w:val="15"/>
          <w:szCs w:val="15"/>
          <w:lang w:val="en-US" w:eastAsia="zh-CN" w:bidi="ar"/>
        </w:rPr>
        <w:t>所有违规分都将在（得分之日起算）180天后重置</w:t>
      </w:r>
      <w:bookmarkEnd w:id="16"/>
      <w:bookmarkEnd w:id="17"/>
      <w:bookmarkStart w:id="18" w:name="_Toc14313"/>
      <w:bookmarkStart w:id="19" w:name="_Toc2183"/>
    </w:p>
    <w:p>
      <w:pPr>
        <w:widowControl w:val="0"/>
        <w:numPr>
          <w:ilvl w:val="0"/>
          <w:numId w:val="8"/>
        </w:numPr>
        <w:ind w:left="425" w:leftChars="0" w:hanging="425" w:firstLineChars="0"/>
        <w:jc w:val="both"/>
        <w:outlineLvl w:val="9"/>
        <w:rPr>
          <w:rFonts w:hint="default" w:ascii="微软雅黑" w:hAnsi="微软雅黑" w:eastAsia="微软雅黑" w:cs="微软雅黑"/>
          <w:b w:val="0"/>
          <w:bCs w:val="0"/>
          <w:kern w:val="0"/>
          <w:sz w:val="15"/>
          <w:szCs w:val="15"/>
          <w:lang w:val="en-US" w:eastAsia="zh-CN" w:bidi="ar"/>
        </w:rPr>
      </w:pPr>
      <w:r>
        <w:rPr>
          <w:rFonts w:hint="default" w:ascii="微软雅黑" w:hAnsi="微软雅黑" w:eastAsia="微软雅黑" w:cs="微软雅黑"/>
          <w:b w:val="0"/>
          <w:bCs w:val="0"/>
          <w:kern w:val="0"/>
          <w:sz w:val="15"/>
          <w:szCs w:val="15"/>
          <w:lang w:val="en-US" w:eastAsia="zh-CN" w:bidi="ar"/>
        </w:rPr>
        <w:t>若累计达到48分，卖家的电商</w:t>
      </w:r>
      <w:r>
        <w:rPr>
          <w:rFonts w:hint="eastAsia" w:ascii="微软雅黑" w:hAnsi="微软雅黑" w:eastAsia="微软雅黑" w:cs="微软雅黑"/>
          <w:b w:val="0"/>
          <w:bCs w:val="0"/>
          <w:kern w:val="0"/>
          <w:sz w:val="15"/>
          <w:szCs w:val="15"/>
          <w:lang w:val="en-US" w:eastAsia="zh-CN" w:bidi="ar"/>
        </w:rPr>
        <w:t>销售</w:t>
      </w:r>
      <w:r>
        <w:rPr>
          <w:rFonts w:hint="default" w:ascii="微软雅黑" w:hAnsi="微软雅黑" w:eastAsia="微软雅黑" w:cs="微软雅黑"/>
          <w:b w:val="0"/>
          <w:bCs w:val="0"/>
          <w:kern w:val="0"/>
          <w:sz w:val="15"/>
          <w:szCs w:val="15"/>
          <w:lang w:val="en-US" w:eastAsia="zh-CN" w:bidi="ar"/>
        </w:rPr>
        <w:t>权限将被永久撤销</w:t>
      </w:r>
      <w:bookmarkEnd w:id="18"/>
      <w:bookmarkEnd w:id="19"/>
      <w:bookmarkStart w:id="20" w:name="_Toc13779"/>
      <w:bookmarkStart w:id="21" w:name="_Toc7206"/>
    </w:p>
    <w:p>
      <w:pPr>
        <w:widowControl w:val="0"/>
        <w:numPr>
          <w:ilvl w:val="0"/>
          <w:numId w:val="8"/>
        </w:numPr>
        <w:ind w:left="425" w:leftChars="0" w:hanging="425" w:firstLineChars="0"/>
        <w:jc w:val="both"/>
        <w:outlineLvl w:val="9"/>
        <w:rPr>
          <w:rFonts w:hint="default" w:ascii="微软雅黑" w:hAnsi="微软雅黑" w:eastAsia="微软雅黑" w:cs="微软雅黑"/>
          <w:b w:val="0"/>
          <w:bCs w:val="0"/>
          <w:kern w:val="0"/>
          <w:sz w:val="15"/>
          <w:szCs w:val="15"/>
          <w:lang w:val="en-US" w:eastAsia="zh-CN" w:bidi="ar"/>
        </w:rPr>
      </w:pPr>
      <w:r>
        <w:rPr>
          <w:rFonts w:hint="default" w:ascii="微软雅黑" w:hAnsi="微软雅黑" w:eastAsia="微软雅黑" w:cs="微软雅黑"/>
          <w:b w:val="0"/>
          <w:bCs w:val="0"/>
          <w:kern w:val="0"/>
          <w:sz w:val="15"/>
          <w:szCs w:val="15"/>
          <w:lang w:val="en-US" w:eastAsia="zh-CN" w:bidi="ar"/>
        </w:rPr>
        <w:t>若卖家的电商</w:t>
      </w:r>
      <w:r>
        <w:rPr>
          <w:rFonts w:hint="eastAsia" w:ascii="微软雅黑" w:hAnsi="微软雅黑" w:eastAsia="微软雅黑" w:cs="微软雅黑"/>
          <w:b w:val="0"/>
          <w:bCs w:val="0"/>
          <w:kern w:val="0"/>
          <w:sz w:val="15"/>
          <w:szCs w:val="15"/>
          <w:lang w:val="en-US" w:eastAsia="zh-CN" w:bidi="ar"/>
        </w:rPr>
        <w:t>销售</w:t>
      </w:r>
      <w:r>
        <w:rPr>
          <w:rFonts w:hint="default" w:ascii="微软雅黑" w:hAnsi="微软雅黑" w:eastAsia="微软雅黑" w:cs="微软雅黑"/>
          <w:b w:val="0"/>
          <w:bCs w:val="0"/>
          <w:kern w:val="0"/>
          <w:sz w:val="15"/>
          <w:szCs w:val="15"/>
          <w:lang w:val="en-US" w:eastAsia="zh-CN" w:bidi="ar"/>
        </w:rPr>
        <w:t>权限被终止，则其累积的违规分将不会重置，除非该卖家对违规记录提起申诉并成功通过</w:t>
      </w:r>
      <w:bookmarkEnd w:id="20"/>
      <w:bookmarkEnd w:id="21"/>
      <w:bookmarkStart w:id="22" w:name="_Toc31504"/>
      <w:bookmarkStart w:id="23" w:name="_Toc17700"/>
    </w:p>
    <w:p>
      <w:pPr>
        <w:widowControl w:val="0"/>
        <w:numPr>
          <w:ilvl w:val="0"/>
          <w:numId w:val="8"/>
        </w:numPr>
        <w:ind w:left="425" w:leftChars="0" w:hanging="425" w:firstLineChars="0"/>
        <w:jc w:val="both"/>
        <w:outlineLvl w:val="9"/>
        <w:rPr>
          <w:rFonts w:hint="default" w:ascii="微软雅黑" w:hAnsi="微软雅黑" w:eastAsia="微软雅黑" w:cs="微软雅黑"/>
          <w:b w:val="0"/>
          <w:bCs w:val="0"/>
          <w:kern w:val="0"/>
          <w:sz w:val="15"/>
          <w:szCs w:val="15"/>
          <w:lang w:val="en-US" w:eastAsia="zh-CN" w:bidi="ar"/>
        </w:rPr>
      </w:pPr>
      <w:r>
        <w:rPr>
          <w:rFonts w:hint="default" w:ascii="微软雅黑" w:hAnsi="微软雅黑" w:eastAsia="微软雅黑" w:cs="微软雅黑"/>
          <w:b w:val="0"/>
          <w:bCs w:val="0"/>
          <w:kern w:val="0"/>
          <w:sz w:val="15"/>
          <w:szCs w:val="15"/>
          <w:lang w:val="en-US" w:eastAsia="zh-CN" w:bidi="ar"/>
        </w:rPr>
        <w:t>除了违规分</w:t>
      </w:r>
      <w:r>
        <w:rPr>
          <w:rFonts w:hint="eastAsia" w:ascii="微软雅黑" w:hAnsi="微软雅黑" w:eastAsia="微软雅黑" w:cs="微软雅黑"/>
          <w:b w:val="0"/>
          <w:bCs w:val="0"/>
          <w:kern w:val="0"/>
          <w:sz w:val="15"/>
          <w:szCs w:val="15"/>
          <w:lang w:val="en-US" w:eastAsia="zh-CN" w:bidi="ar"/>
        </w:rPr>
        <w:t>外</w:t>
      </w:r>
      <w:r>
        <w:rPr>
          <w:rFonts w:hint="default" w:ascii="微软雅黑" w:hAnsi="微软雅黑" w:eastAsia="微软雅黑" w:cs="微软雅黑"/>
          <w:b w:val="0"/>
          <w:bCs w:val="0"/>
          <w:kern w:val="0"/>
          <w:sz w:val="15"/>
          <w:szCs w:val="15"/>
          <w:lang w:val="en-US" w:eastAsia="zh-CN" w:bidi="ar"/>
        </w:rPr>
        <w:t>，TikTok Shop还可能采取任何其他必要的纠正措施和管控行动</w:t>
      </w:r>
      <w:bookmarkEnd w:id="22"/>
      <w:bookmarkEnd w:id="23"/>
    </w:p>
    <w:p>
      <w:pPr>
        <w:widowControl w:val="0"/>
        <w:numPr>
          <w:ilvl w:val="0"/>
          <w:numId w:val="0"/>
        </w:numPr>
        <w:jc w:val="both"/>
        <w:outlineLvl w:val="9"/>
        <w:rPr>
          <w:rFonts w:hint="default" w:ascii="微软雅黑" w:hAnsi="微软雅黑" w:eastAsia="微软雅黑" w:cs="微软雅黑"/>
          <w:b w:val="0"/>
          <w:bCs w:val="0"/>
          <w:kern w:val="0"/>
          <w:sz w:val="15"/>
          <w:szCs w:val="15"/>
          <w:lang w:val="en-US" w:eastAsia="zh-CN" w:bidi="ar"/>
        </w:rPr>
      </w:pPr>
      <w:r>
        <w:rPr>
          <w:rFonts w:hint="default" w:ascii="微软雅黑" w:hAnsi="微软雅黑" w:eastAsia="微软雅黑" w:cs="微软雅黑"/>
          <w:b w:val="0"/>
          <w:bCs w:val="0"/>
          <w:kern w:val="0"/>
          <w:sz w:val="15"/>
          <w:szCs w:val="15"/>
          <w:lang w:val="en-US" w:eastAsia="zh-CN" w:bidi="ar"/>
        </w:rPr>
        <w:drawing>
          <wp:inline distT="0" distB="0" distL="114300" distR="114300">
            <wp:extent cx="5273675" cy="4170045"/>
            <wp:effectExtent l="0" t="0" r="14605" b="5715"/>
            <wp:docPr id="1" name="图片 1" descr="ac2c19c7-2895-4244-9e83-92bf6479b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c2c19c7-2895-4244-9e83-92bf6479b3e7"/>
                    <pic:cNvPicPr>
                      <a:picLocks noChangeAspect="1"/>
                    </pic:cNvPicPr>
                  </pic:nvPicPr>
                  <pic:blipFill>
                    <a:blip r:embed="rId5"/>
                    <a:stretch>
                      <a:fillRect/>
                    </a:stretch>
                  </pic:blipFill>
                  <pic:spPr>
                    <a:xfrm>
                      <a:off x="0" y="0"/>
                      <a:ext cx="5273675" cy="4170045"/>
                    </a:xfrm>
                    <a:prstGeom prst="rect">
                      <a:avLst/>
                    </a:prstGeom>
                  </pic:spPr>
                </pic:pic>
              </a:graphicData>
            </a:graphic>
          </wp:inline>
        </w:drawing>
      </w:r>
    </w:p>
    <w:p>
      <w:pPr>
        <w:widowControl w:val="0"/>
        <w:numPr>
          <w:ilvl w:val="0"/>
          <w:numId w:val="0"/>
        </w:numPr>
        <w:jc w:val="both"/>
        <w:outlineLvl w:val="9"/>
        <w:rPr>
          <w:rFonts w:hint="default" w:ascii="微软雅黑" w:hAnsi="微软雅黑" w:eastAsia="微软雅黑" w:cs="微软雅黑"/>
          <w:b w:val="0"/>
          <w:bCs w:val="0"/>
          <w:kern w:val="0"/>
          <w:sz w:val="15"/>
          <w:szCs w:val="15"/>
          <w:lang w:val="en-US" w:eastAsia="zh-CN" w:bidi="ar"/>
        </w:rPr>
      </w:pPr>
      <w:r>
        <w:rPr>
          <w:rFonts w:hint="eastAsia" w:ascii="微软雅黑" w:hAnsi="微软雅黑" w:eastAsia="微软雅黑" w:cs="微软雅黑"/>
          <w:b/>
          <w:bCs/>
          <w:kern w:val="0"/>
          <w:sz w:val="15"/>
          <w:szCs w:val="15"/>
          <w:u w:val="single"/>
          <w:lang w:val="en-US" w:eastAsia="zh-CN" w:bidi="ar"/>
        </w:rPr>
        <w:t>需要注意：关于卖家是否违规，平台判定规则是算法模型黑盒，不会做透明公开；只要卖家严格遵循本地发货的相关要求，就不会被平台算法误判是fake物流，shipping partner不是唯一判定标准；其余关于违规处罚的详细公开说明请关注tiktok shop跨境卖家中心：seller.tiktokglobalshop.com，如果存在被关店情况，请前往违规平台申诉，相关处理跟进细节请联系本地AM.</w:t>
      </w:r>
      <w:bookmarkStart w:id="24" w:name="_GoBack"/>
      <w:bookmarkEnd w:id="24"/>
    </w:p>
    <w:p>
      <w:pPr>
        <w:widowControl w:val="0"/>
        <w:numPr>
          <w:ilvl w:val="0"/>
          <w:numId w:val="0"/>
        </w:numPr>
        <w:ind w:leftChars="0"/>
        <w:jc w:val="both"/>
        <w:outlineLvl w:val="9"/>
        <w:rPr>
          <w:rFonts w:hint="default" w:ascii="微软雅黑" w:hAnsi="微软雅黑" w:eastAsia="微软雅黑" w:cs="微软雅黑"/>
          <w:b w:val="0"/>
          <w:bCs w:val="0"/>
          <w:kern w:val="0"/>
          <w:sz w:val="15"/>
          <w:szCs w:val="15"/>
          <w:lang w:val="en-US" w:eastAsia="zh-CN" w:bidi="ar"/>
        </w:rPr>
      </w:pPr>
    </w:p>
    <w:p>
      <w:pPr>
        <w:widowControl w:val="0"/>
        <w:numPr>
          <w:ilvl w:val="0"/>
          <w:numId w:val="0"/>
        </w:numPr>
        <w:ind w:leftChars="0"/>
        <w:jc w:val="both"/>
        <w:outlineLvl w:val="9"/>
        <w:rPr>
          <w:rFonts w:hint="default" w:ascii="微软雅黑" w:hAnsi="微软雅黑" w:eastAsia="微软雅黑" w:cs="微软雅黑"/>
          <w:b w:val="0"/>
          <w:bCs w:val="0"/>
          <w:kern w:val="0"/>
          <w:sz w:val="15"/>
          <w:szCs w:val="15"/>
          <w:lang w:val="en-US" w:eastAsia="zh-CN" w:bidi="ar"/>
        </w:rPr>
      </w:pPr>
    </w:p>
    <w:p>
      <w:pPr>
        <w:widowControl w:val="0"/>
        <w:numPr>
          <w:ilvl w:val="0"/>
          <w:numId w:val="0"/>
        </w:numPr>
        <w:ind w:left="420" w:leftChars="0"/>
        <w:jc w:val="both"/>
        <w:outlineLvl w:val="9"/>
      </w:pPr>
    </w:p>
    <w:p/>
    <w:p>
      <w:pPr>
        <w:widowControl w:val="0"/>
        <w:numPr>
          <w:ilvl w:val="0"/>
          <w:numId w:val="0"/>
        </w:numPr>
        <w:jc w:val="both"/>
        <w:outlineLvl w:val="9"/>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02D3C"/>
    <w:multiLevelType w:val="singleLevel"/>
    <w:tmpl w:val="8AD02D3C"/>
    <w:lvl w:ilvl="0" w:tentative="0">
      <w:start w:val="1"/>
      <w:numFmt w:val="bullet"/>
      <w:lvlText w:val=""/>
      <w:lvlJc w:val="left"/>
      <w:pPr>
        <w:ind w:left="420" w:hanging="420"/>
      </w:pPr>
      <w:rPr>
        <w:rFonts w:hint="default" w:ascii="Wingdings" w:hAnsi="Wingdings"/>
      </w:rPr>
    </w:lvl>
  </w:abstractNum>
  <w:abstractNum w:abstractNumId="1">
    <w:nsid w:val="07DD9A26"/>
    <w:multiLevelType w:val="singleLevel"/>
    <w:tmpl w:val="07DD9A26"/>
    <w:lvl w:ilvl="0" w:tentative="0">
      <w:start w:val="1"/>
      <w:numFmt w:val="bullet"/>
      <w:lvlText w:val=""/>
      <w:lvlJc w:val="left"/>
      <w:pPr>
        <w:ind w:left="420" w:hanging="420"/>
      </w:pPr>
      <w:rPr>
        <w:rFonts w:hint="default" w:ascii="Wingdings" w:hAnsi="Wingdings"/>
      </w:rPr>
    </w:lvl>
  </w:abstractNum>
  <w:abstractNum w:abstractNumId="2">
    <w:nsid w:val="14C051FA"/>
    <w:multiLevelType w:val="singleLevel"/>
    <w:tmpl w:val="14C051FA"/>
    <w:lvl w:ilvl="0" w:tentative="0">
      <w:start w:val="1"/>
      <w:numFmt w:val="decimal"/>
      <w:lvlText w:val="%1."/>
      <w:lvlJc w:val="left"/>
      <w:pPr>
        <w:ind w:left="425" w:hanging="425"/>
      </w:pPr>
      <w:rPr>
        <w:rFonts w:hint="default"/>
      </w:rPr>
    </w:lvl>
  </w:abstractNum>
  <w:abstractNum w:abstractNumId="3">
    <w:nsid w:val="40F5D046"/>
    <w:multiLevelType w:val="singleLevel"/>
    <w:tmpl w:val="40F5D046"/>
    <w:lvl w:ilvl="0" w:tentative="0">
      <w:start w:val="1"/>
      <w:numFmt w:val="decimal"/>
      <w:lvlText w:val="%1."/>
      <w:lvlJc w:val="left"/>
      <w:pPr>
        <w:ind w:left="425" w:hanging="425"/>
      </w:pPr>
      <w:rPr>
        <w:rFonts w:hint="default"/>
      </w:rPr>
    </w:lvl>
  </w:abstractNum>
  <w:abstractNum w:abstractNumId="4">
    <w:nsid w:val="4210693D"/>
    <w:multiLevelType w:val="singleLevel"/>
    <w:tmpl w:val="4210693D"/>
    <w:lvl w:ilvl="0" w:tentative="0">
      <w:start w:val="1"/>
      <w:numFmt w:val="chineseCounting"/>
      <w:suff w:val="nothing"/>
      <w:lvlText w:val="%1、"/>
      <w:lvlJc w:val="left"/>
      <w:pPr>
        <w:ind w:left="0" w:firstLine="420"/>
      </w:pPr>
      <w:rPr>
        <w:rFonts w:hint="eastAsia"/>
      </w:rPr>
    </w:lvl>
  </w:abstractNum>
  <w:abstractNum w:abstractNumId="5">
    <w:nsid w:val="44772163"/>
    <w:multiLevelType w:val="singleLevel"/>
    <w:tmpl w:val="44772163"/>
    <w:lvl w:ilvl="0" w:tentative="0">
      <w:start w:val="1"/>
      <w:numFmt w:val="decimal"/>
      <w:lvlText w:val="(%1)"/>
      <w:lvlJc w:val="left"/>
      <w:pPr>
        <w:ind w:left="425" w:hanging="425"/>
      </w:pPr>
      <w:rPr>
        <w:rFonts w:hint="default"/>
      </w:rPr>
    </w:lvl>
  </w:abstractNum>
  <w:abstractNum w:abstractNumId="6">
    <w:nsid w:val="4C50DBB7"/>
    <w:multiLevelType w:val="singleLevel"/>
    <w:tmpl w:val="4C50DBB7"/>
    <w:lvl w:ilvl="0" w:tentative="0">
      <w:start w:val="1"/>
      <w:numFmt w:val="bullet"/>
      <w:lvlText w:val=""/>
      <w:lvlJc w:val="left"/>
      <w:pPr>
        <w:ind w:left="420" w:hanging="420"/>
      </w:pPr>
      <w:rPr>
        <w:rFonts w:hint="default" w:ascii="Wingdings" w:hAnsi="Wingdings"/>
      </w:rPr>
    </w:lvl>
  </w:abstractNum>
  <w:abstractNum w:abstractNumId="7">
    <w:nsid w:val="7FDF9B38"/>
    <w:multiLevelType w:val="singleLevel"/>
    <w:tmpl w:val="7FDF9B38"/>
    <w:lvl w:ilvl="0" w:tentative="0">
      <w:start w:val="1"/>
      <w:numFmt w:val="bullet"/>
      <w:lvlText w:val=""/>
      <w:lvlJc w:val="left"/>
      <w:pPr>
        <w:ind w:left="420" w:hanging="420"/>
      </w:pPr>
      <w:rPr>
        <w:rFonts w:hint="default" w:ascii="Wingdings" w:hAnsi="Wingdings"/>
      </w:rPr>
    </w:lvl>
  </w:abstractNum>
  <w:num w:numId="1">
    <w:abstractNumId w:val="4"/>
  </w:num>
  <w:num w:numId="2">
    <w:abstractNumId w:val="1"/>
  </w:num>
  <w:num w:numId="3">
    <w:abstractNumId w:val="0"/>
  </w:num>
  <w:num w:numId="4">
    <w:abstractNumId w:val="2"/>
  </w:num>
  <w:num w:numId="5">
    <w:abstractNumId w:val="7"/>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3ZjI3ODVjNGQxMzFiY2YwYjI5MDUxYmUzMGMyMjAifQ=="/>
    <w:docVar w:name="KSO_WPS_MARK_KEY" w:val="92bfa6cf-97ef-4aa1-85f1-aed58b3dbf07"/>
  </w:docVars>
  <w:rsids>
    <w:rsidRoot w:val="31AC1D84"/>
    <w:rsid w:val="16C66A6C"/>
    <w:rsid w:val="31AC1D84"/>
    <w:rsid w:val="4A7E3029"/>
    <w:rsid w:val="598D29D8"/>
    <w:rsid w:val="76D156A1"/>
    <w:rsid w:val="7D345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2410</Words>
  <Characters>2742</Characters>
  <Lines>0</Lines>
  <Paragraphs>0</Paragraphs>
  <TotalTime>7</TotalTime>
  <ScaleCrop>false</ScaleCrop>
  <LinksUpToDate>false</LinksUpToDate>
  <CharactersWithSpaces>2775</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2024-02-20T05:48:00Z</dcterms:created>
  <dc:creator>王雪颜</dc:creator>
  <cp:lastModifiedBy>王雪颜</cp:lastModifiedBy>
  <dcterms:modified xsi:type="dcterms:W3CDTF">2024-02-20T07:25:40Z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61CEF0B02C2043B28CEBA4C148CE6DAB</vt:lpwstr>
  </property>
</Properties>
</file>