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2016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年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3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2016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届高三第一次全国大联考（新课标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I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卷）地理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卷答案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及解析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 w:hint="eastAsia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 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1.C 2.B 3.C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fldChar w:fldCharType="begin"/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instrText>HYPERLINK "http://photo.blog.sina.com.cn/showpic.html#blogid=5a18c50f0102wc03&amp;url=http://album.sina.com.cn/pic/001Eip7Fzy6ZVBYTXQqc6"</w:instrTex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fldChar w:fldCharType="separate"/>
      </w:r>
      <w:r w:rsidRPr="00774869">
        <w:rPr>
          <w:rFonts w:ascii="微软雅黑" w:eastAsia="微软雅黑" w:cs="微软雅黑" w:hint="eastAsia"/>
          <w:noProof/>
          <w:color w:val="000000" w:themeColor="text1"/>
          <w:kern w:val="0"/>
          <w:szCs w:val="21"/>
        </w:rPr>
        <w:drawing>
          <wp:inline distT="0" distB="0" distL="0" distR="0">
            <wp:extent cx="6238875" cy="1371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fldChar w:fldCharType="end"/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 考点：交通运输方式、地形类型和经纬网应用。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4.D 5.C 6.C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【解析】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试题分析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: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4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．根据图中给出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甲附近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纬线度数为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45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°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N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，两条经线之间的经度差为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40,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长度经为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4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×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110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×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COS45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°≈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311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千米。每日移动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120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千米，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30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小时移动约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150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千米，图中的高压脊移动到甲附近，高压脊控制时天气晴朗，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故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A C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错；移动后气压降低，移动后等压线变密集，单位距离气压差增大，风力加强，故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B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错。高压脊控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制下阴天，气温上升，故选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D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5.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我国的东北地区由于纬度高，太阳高度角小，地表接收到的太阳辐射较弱，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因此气温低，地下容易形成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冻土层，故本题选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C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6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．季节性冻土与气温有关，故影响季节性冻土分布与影响气温因素相当。图中季节性冻土等日数线走向可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以分成两部分，东段大致东西走向，受纬度因素影响；西段为东北—西南走向，受地形因素影响。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考点：该题考查等压线和冻土。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7.C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 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8.D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 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9.B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【解析】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试题分析：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7.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根据图中等高线的分布特点，可知上游河段水位范围为（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4000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5000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），下游河段水位范围为（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1000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2000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米），所以水位差值为（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2000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4000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,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即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C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正确。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8.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雅鲁藏布江大峡谷是青藏高原上最大的水汽通道，受西南季风的影响，大峡谷南段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N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河段迎风坡，多地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形雨，降水量大，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M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河段受地形的阻挡，降水量少。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9.GPS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可测出地面某点的经纬度和高程，对大峡谷两侧的山峰和谷底进行高程测量，可准确测定大峡谷的深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度。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考点：等值线判读和地理信息技术。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 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10.D 11.B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【解析】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10.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读图，图中非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农就业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人数比重与城市化都是上升趋势，呈正相关，不是正比例；根据材料，我国农业人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口比重高，新增非农就业人口潜力很大；乡村迁往城市是未来人口迁移的主要方向；计算非农就业人口比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重与城市化率的比值，图中数值显示非农就业人口比重和城市化率同步增加，所以两者的比值呈下降趋势，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D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对。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11.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此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问注意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审题，看清楚时间，在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2025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年前，也就是实施全面两孩政策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10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年内，会带来哪些影响，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10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年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内，出生率会有所上升，但是人口的自然增长率仍然较低，我国人口增长的模式现代型不会改变，不会影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响老年人口的数量，因而也不会减轻家庭及社会的养老负担；二孩婴儿潮的到来，将拉动相关食品、玩具、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母婴医疗、儿童服饰、家用汽车、教育行业等的发展，影响劳动力人口的职业构成，故选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B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。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考点：城市化和人口流动。</w:t>
      </w:r>
    </w:p>
    <w:p w:rsidR="00774869" w:rsidRDefault="00774869">
      <w:pPr>
        <w:widowControl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>
        <w:rPr>
          <w:rFonts w:ascii="微软雅黑" w:eastAsia="微软雅黑" w:cs="微软雅黑"/>
          <w:color w:val="000000" w:themeColor="text1"/>
          <w:kern w:val="0"/>
          <w:szCs w:val="21"/>
        </w:rPr>
        <w:br w:type="page"/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lastRenderedPageBreak/>
        <w:t>36.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24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1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）红海位于副热带海区，盛行下沉气流，降水量少；气温高，蒸发量大；红海四周几乎没有淡水注入；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海域较为封闭，与其它海区海水交换少。（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任答</w:t>
      </w:r>
      <w:proofErr w:type="gramEnd"/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3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点得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6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2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）南多北少（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分）南部夏季受西南季风影响，加上地形抬升，降水较多。（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分）北部受副热带高气压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带控制时间较长，加上位于地形背风坡，降水较少。（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3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）有利条件：光照充足，昼夜温差大；不利条件：降水少，沙漠广布；建议：发展节约化农业，运用喷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灌、滴灌技术节约用水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4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）国内淡水资源紧缺，市场需求大（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分）；经济发达，资金充足（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2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分）；技术水平高（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分）；政府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支持（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分）。（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任答</w:t>
      </w:r>
      <w:proofErr w:type="gramEnd"/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3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点得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6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noProof/>
          <w:color w:val="000000" w:themeColor="text1"/>
          <w:kern w:val="0"/>
          <w:szCs w:val="21"/>
        </w:rPr>
        <w:drawing>
          <wp:inline distT="0" distB="0" distL="0" distR="0">
            <wp:extent cx="6276975" cy="2657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考点：本题考查盐度、降水、农业可持续发展和工业区位条件。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37.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22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1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）有利于产业结构调整；拉动相关产业发展；促进文化交流和融合。（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6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2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）外高桥港位于长江入海口，距离上海市区近，洋山港位于东海的岛屿上，距离上海市区远；洋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山港比</w:t>
      </w:r>
      <w:proofErr w:type="gramEnd"/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外高桥港水深，外高桥港航道易受长江泥沙淤积的影响。（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8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3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）不占用陆上土地（或不占用耕地、农业用地），适合大规模开发；夏季风速高；风中沙尘少，对发电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机组磨损少；接近消费地，降低输送成本；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毗邻长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三角，经济、科技实力强。（任选四点得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8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 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【解析】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试题分析：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1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）迪斯尼乐园属于娱乐设施，能促进利于产业结构调整，拉动相关产业发展，促进文化交流和融合。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2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）根据图中外高桥港、洋山港地理位置可知，外高桥港位于长江入海口，流水带来泥沙在入海口沉积，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导致水位较浅，距离上海市区近，洋山港位于杭州湾内，洋山港由位于离大陆三十多千米距离的大、小洋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山等数十个岛屿组成，所以比外高桥港水深。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3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）与甘肃等内陆风电场相比，东海风电场建设不占用陆上土地（或不占用耕地、农业用地），适合大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规</w:t>
      </w:r>
      <w:proofErr w:type="gramEnd"/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模开发。同时，东海风电场夏季受夏季风台风等的影响，夏季风速高、且风中沙尘少，对发电机组磨损少；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东海风电场紧邻沪宁杭工业基地，属于长三角地区，经济、科技实力强，接近消费地，可以降低输送成本。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考点：本题考查港口建设区位条件、发展第三产业、工业区位因素。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</w:p>
    <w:p w:rsidR="00774869" w:rsidRDefault="00774869">
      <w:pPr>
        <w:widowControl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>
        <w:rPr>
          <w:rFonts w:ascii="微软雅黑" w:eastAsia="微软雅黑" w:cs="微软雅黑"/>
          <w:color w:val="000000" w:themeColor="text1"/>
          <w:kern w:val="0"/>
          <w:szCs w:val="21"/>
        </w:rPr>
        <w:br w:type="page"/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lastRenderedPageBreak/>
        <w:t>42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．【旅游地理】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(10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)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原因：居民生活水平不断提高；小汽车的拥有量不断增多；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高速路暂免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收费；外出旅游意愿增强等（答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2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点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得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4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 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措施：加强景区疏导和管理工作；限制接待人数；热点景区采取网络预约售票制；景区及时发布流量预报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信息等。（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任答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3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点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得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6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【解析】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试题分析：旅游活动一般从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距消费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市场远近、交通、经济发展水平、居民收入等条件分析。针对人数激增，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高速拥堵重点景点井喷现象，可以采用限制人数，加强疏导，及时发布信息方面考虑。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考点：旅游活动和旅游规划。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43.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【自然灾害与防治】（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10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 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【答案】鄂毕河和叶尼塞河地处中高纬度，以积雪融水补给为主；冬半年积雪量大，春季气温回升快，造成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大量融雪水补给河流；勒拿河中、下游地区地形低洼，排水不畅；冻土发育明显，下渗少；河流流经地区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冰期时间长，河流都是自南向北流，春季易出现凌汛，大量冰凌阻塞河水，水位上涨快。（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10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【解析】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试题分析：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</w:p>
    <w:p w:rsid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根据河流所处位置结合地形、气候等条件分析成因。由图可知鄂毕河和叶尼塞河地处中高纬度，该区域地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势北低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南高，冬季降雪量大，河流以积雪融水补给为主；由于冬半年积雪量大，次年春季气温回升快，造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成大量融雪水补给河流；图中显示两河流中、下游地区海拔大多在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200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米左右，地形平坦，水流缓慢，排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水不畅；该河流由于所处纬度较高，流经地区冰期时间长，而且该河是由较低纬度流向较高纬度，即自南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向北流，易发生凌汛现象，春季大量冰凌阻塞河水，水位上涨快，所以每年春季，河流中、下游河水猛涨，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常常泛滥成灾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考点：自然灾害的形成原因。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44.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【环境保护】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(10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)</w:t>
      </w:r>
    </w:p>
    <w:p w:rsidR="00774869" w:rsidRPr="00774869" w:rsidRDefault="00774869" w:rsidP="00774869">
      <w:pPr>
        <w:widowControl/>
        <w:autoSpaceDE w:val="0"/>
        <w:autoSpaceDN w:val="0"/>
        <w:adjustRightInd w:val="0"/>
        <w:snapToGrid w:val="0"/>
        <w:ind w:rightChars="50" w:right="105"/>
        <w:jc w:val="left"/>
        <w:rPr>
          <w:rFonts w:ascii="微软雅黑" w:eastAsia="微软雅黑" w:cs="微软雅黑"/>
          <w:color w:val="000000" w:themeColor="text1"/>
          <w:kern w:val="0"/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【答案】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原因：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7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、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8 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月该地区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受副高带高压脊控制，高温少雨，盛夏用水量增加，导致湖水补给量减少；流入该湖的污染水体所占比重大，水体富养化加重；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7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、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8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月份气温高、光照强，水华生物生长繁殖速度快。（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6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影响：湖水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水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质变差，水产养殖减产（影响工业生产）；污染饮用水源，危害人体健康等。（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4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分）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【解析】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试题分析：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7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、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8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月份，巢湖受伏旱天气影响，高温少雨。正值盛夏时期，用水量增加，导致湖水补给量减少。期间流入该湖的污染水体所占比重大，水体富养化加重。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>7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、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8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月份气温高、光照强，水华生物生长繁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proofErr w:type="gramStart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殖</w:t>
      </w:r>
      <w:proofErr w:type="gramEnd"/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速度快。所以水华现象严重。出现“水华”现象，水体富营养化，水质变差，对水产养殖和生活用水都</w:t>
      </w:r>
      <w:r w:rsidRPr="00774869">
        <w:rPr>
          <w:rFonts w:ascii="微软雅黑" w:eastAsia="微软雅黑" w:cs="微软雅黑"/>
          <w:color w:val="000000" w:themeColor="text1"/>
          <w:kern w:val="0"/>
          <w:szCs w:val="21"/>
        </w:rPr>
        <w:t xml:space="preserve"> </w:t>
      </w: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带来严重的影响。</w:t>
      </w:r>
    </w:p>
    <w:p w:rsidR="005258B9" w:rsidRPr="00774869" w:rsidRDefault="00774869" w:rsidP="00774869">
      <w:pPr>
        <w:rPr>
          <w:szCs w:val="21"/>
        </w:rPr>
      </w:pPr>
      <w:r w:rsidRPr="00774869">
        <w:rPr>
          <w:rFonts w:ascii="微软雅黑" w:eastAsia="微软雅黑" w:cs="微软雅黑" w:hint="eastAsia"/>
          <w:color w:val="000000" w:themeColor="text1"/>
          <w:kern w:val="0"/>
          <w:szCs w:val="21"/>
        </w:rPr>
        <w:t>考点：水体污染的成因和影响。</w:t>
      </w:r>
      <w:bookmarkStart w:id="0" w:name="_GoBack"/>
      <w:bookmarkEnd w:id="0"/>
    </w:p>
    <w:sectPr w:rsidR="005258B9" w:rsidRPr="00774869" w:rsidSect="00EC5BAC">
      <w:footerReference w:type="default" r:id="rId8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49C" w:rsidRDefault="00B7649C" w:rsidP="000C2C55">
      <w:r>
        <w:separator/>
      </w:r>
    </w:p>
  </w:endnote>
  <w:endnote w:type="continuationSeparator" w:id="0">
    <w:p w:rsidR="00B7649C" w:rsidRDefault="00B7649C" w:rsidP="000C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115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C2C55" w:rsidRDefault="000C2C55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374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F37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2C55" w:rsidRDefault="000C2C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49C" w:rsidRDefault="00B7649C" w:rsidP="000C2C55">
      <w:r>
        <w:separator/>
      </w:r>
    </w:p>
  </w:footnote>
  <w:footnote w:type="continuationSeparator" w:id="0">
    <w:p w:rsidR="00B7649C" w:rsidRDefault="00B7649C" w:rsidP="000C2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69"/>
    <w:rsid w:val="000C2C55"/>
    <w:rsid w:val="005258B9"/>
    <w:rsid w:val="005F3741"/>
    <w:rsid w:val="00774869"/>
    <w:rsid w:val="00B7649C"/>
    <w:rsid w:val="00E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410BE-FEA0-46E0-9A36-AC14AE0F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6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2C5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2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2C55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5B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5B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473</Words>
  <Characters>2698</Characters>
  <Application>Microsoft Office Word</Application>
  <DocSecurity>0</DocSecurity>
  <Lines>22</Lines>
  <Paragraphs>6</Paragraphs>
  <ScaleCrop>false</ScaleCrop>
  <Company>Lenovo</Company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2016-04-06T11:39:00Z</cp:lastPrinted>
  <dcterms:created xsi:type="dcterms:W3CDTF">2016-04-06T11:18:00Z</dcterms:created>
  <dcterms:modified xsi:type="dcterms:W3CDTF">2016-04-06T14:53:00Z</dcterms:modified>
</cp:coreProperties>
</file>