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bookmarkStart w:id="0" w:name="_GoBack"/>
      <w:bookmarkEnd w:id="0"/>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自学完成范式解构、构思立意、标题、别样素材等项目训练；【满分作文品鉴】《假如我失去三天光明》熟读成诵。</w:t>
      </w:r>
    </w:p>
    <w:p w:rsidR="008155C1" w:rsidRPr="008155C1" w:rsidRDefault="008155C1" w:rsidP="00C32B9E">
      <w:pPr>
        <w:spacing w:line="240" w:lineRule="exact"/>
        <w:ind w:firstLineChars="250" w:firstLine="527"/>
        <w:rPr>
          <w:rFonts w:ascii="方正粗宋简体" w:eastAsia="方正粗宋简体" w:hAnsi="楷体"/>
          <w:b/>
          <w:szCs w:val="21"/>
        </w:rPr>
      </w:pPr>
    </w:p>
    <w:sectPr w:rsidR="008155C1" w:rsidRPr="008155C1"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BEA" w:rsidRDefault="00926BEA" w:rsidP="000058E1">
      <w:r>
        <w:separator/>
      </w:r>
    </w:p>
  </w:endnote>
  <w:endnote w:type="continuationSeparator" w:id="0">
    <w:p w:rsidR="00926BEA" w:rsidRDefault="00926BEA"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FE68DD">
              <w:rPr>
                <w:rFonts w:ascii="楷体" w:eastAsia="楷体" w:hAnsi="楷体"/>
                <w:b/>
                <w:bCs/>
                <w:noProof/>
                <w:sz w:val="15"/>
                <w:szCs w:val="15"/>
              </w:rPr>
              <w:t>6</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FE68DD">
              <w:rPr>
                <w:rFonts w:ascii="楷体" w:eastAsia="楷体" w:hAnsi="楷体"/>
                <w:b/>
                <w:bCs/>
                <w:noProof/>
                <w:sz w:val="15"/>
                <w:szCs w:val="15"/>
              </w:rPr>
              <w:t>6</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BEA" w:rsidRDefault="00926BEA" w:rsidP="000058E1">
      <w:r>
        <w:separator/>
      </w:r>
    </w:p>
  </w:footnote>
  <w:footnote w:type="continuationSeparator" w:id="0">
    <w:p w:rsidR="00926BEA" w:rsidRDefault="00926BEA"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961C9"/>
    <w:rsid w:val="0019628A"/>
    <w:rsid w:val="001967A0"/>
    <w:rsid w:val="00196EB8"/>
    <w:rsid w:val="001A35A6"/>
    <w:rsid w:val="001A362F"/>
    <w:rsid w:val="001A4D10"/>
    <w:rsid w:val="001B0686"/>
    <w:rsid w:val="001B2EFE"/>
    <w:rsid w:val="001B3945"/>
    <w:rsid w:val="001B3FD8"/>
    <w:rsid w:val="001C09A7"/>
    <w:rsid w:val="001C1BEC"/>
    <w:rsid w:val="001D545C"/>
    <w:rsid w:val="001D5C8E"/>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49EB"/>
    <w:rsid w:val="004E50BF"/>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5B53"/>
    <w:rsid w:val="00623EE0"/>
    <w:rsid w:val="0062570F"/>
    <w:rsid w:val="006409E7"/>
    <w:rsid w:val="006442F5"/>
    <w:rsid w:val="00654C27"/>
    <w:rsid w:val="00654CD1"/>
    <w:rsid w:val="00656A75"/>
    <w:rsid w:val="00661A47"/>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7767"/>
    <w:rsid w:val="00730E77"/>
    <w:rsid w:val="00733A3B"/>
    <w:rsid w:val="0073449B"/>
    <w:rsid w:val="00734596"/>
    <w:rsid w:val="00734BEB"/>
    <w:rsid w:val="0073648D"/>
    <w:rsid w:val="00737AE9"/>
    <w:rsid w:val="00744D93"/>
    <w:rsid w:val="00745C66"/>
    <w:rsid w:val="0075172D"/>
    <w:rsid w:val="00753212"/>
    <w:rsid w:val="00762C60"/>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C300F"/>
    <w:rsid w:val="008C3C2D"/>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A2FA7"/>
    <w:rsid w:val="009A4027"/>
    <w:rsid w:val="009A60F0"/>
    <w:rsid w:val="009A69A0"/>
    <w:rsid w:val="009B2B9E"/>
    <w:rsid w:val="009B44EB"/>
    <w:rsid w:val="009B5DA0"/>
    <w:rsid w:val="009B61F7"/>
    <w:rsid w:val="009C2842"/>
    <w:rsid w:val="009C3A4A"/>
    <w:rsid w:val="009C53BF"/>
    <w:rsid w:val="009C7EFA"/>
    <w:rsid w:val="009D13FD"/>
    <w:rsid w:val="009D1A06"/>
    <w:rsid w:val="009D310A"/>
    <w:rsid w:val="009E0EA7"/>
    <w:rsid w:val="009E711C"/>
    <w:rsid w:val="009E7315"/>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B3F65"/>
    <w:rsid w:val="00AB54C2"/>
    <w:rsid w:val="00AB7530"/>
    <w:rsid w:val="00AC245F"/>
    <w:rsid w:val="00AC3F1D"/>
    <w:rsid w:val="00AC4B35"/>
    <w:rsid w:val="00AC6130"/>
    <w:rsid w:val="00AD2D9D"/>
    <w:rsid w:val="00AD46AA"/>
    <w:rsid w:val="00AD6ED7"/>
    <w:rsid w:val="00AE17AB"/>
    <w:rsid w:val="00AE1D95"/>
    <w:rsid w:val="00AE69AF"/>
    <w:rsid w:val="00AF2762"/>
    <w:rsid w:val="00AF418A"/>
    <w:rsid w:val="00AF5803"/>
    <w:rsid w:val="00AF7AC7"/>
    <w:rsid w:val="00B059C7"/>
    <w:rsid w:val="00B07FD4"/>
    <w:rsid w:val="00B12175"/>
    <w:rsid w:val="00B221CA"/>
    <w:rsid w:val="00B26409"/>
    <w:rsid w:val="00B34AC8"/>
    <w:rsid w:val="00B36ACD"/>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1D13"/>
    <w:rsid w:val="00D42FF3"/>
    <w:rsid w:val="00D43401"/>
    <w:rsid w:val="00D46601"/>
    <w:rsid w:val="00D53A98"/>
    <w:rsid w:val="00D549F0"/>
    <w:rsid w:val="00D54BAE"/>
    <w:rsid w:val="00D62FBE"/>
    <w:rsid w:val="00D6425E"/>
    <w:rsid w:val="00D64D77"/>
    <w:rsid w:val="00D66168"/>
    <w:rsid w:val="00D71B61"/>
    <w:rsid w:val="00D72835"/>
    <w:rsid w:val="00D76E37"/>
    <w:rsid w:val="00D85EDE"/>
    <w:rsid w:val="00D92D93"/>
    <w:rsid w:val="00D93EFE"/>
    <w:rsid w:val="00DA18F1"/>
    <w:rsid w:val="00DA32C7"/>
    <w:rsid w:val="00DA405B"/>
    <w:rsid w:val="00DC01E3"/>
    <w:rsid w:val="00DC04A0"/>
    <w:rsid w:val="00DD206D"/>
    <w:rsid w:val="00DD5350"/>
    <w:rsid w:val="00DD7E1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2FAE"/>
    <w:rsid w:val="00F2680C"/>
    <w:rsid w:val="00F26D66"/>
    <w:rsid w:val="00F27619"/>
    <w:rsid w:val="00F328CB"/>
    <w:rsid w:val="00F32AA6"/>
    <w:rsid w:val="00F4636C"/>
    <w:rsid w:val="00F473B8"/>
    <w:rsid w:val="00F5270D"/>
    <w:rsid w:val="00F6569F"/>
    <w:rsid w:val="00F71CCE"/>
    <w:rsid w:val="00F73FF0"/>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C3F2C-444E-41CA-BC86-DD683119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1322</Words>
  <Characters>7539</Characters>
  <Application>Microsoft Office Word</Application>
  <DocSecurity>0</DocSecurity>
  <Lines>62</Lines>
  <Paragraphs>17</Paragraphs>
  <ScaleCrop>false</ScaleCrop>
  <Company>Lenovo</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2016-09-26T03:04:00Z</cp:lastPrinted>
  <dcterms:created xsi:type="dcterms:W3CDTF">2016-09-26T03:04:00Z</dcterms:created>
  <dcterms:modified xsi:type="dcterms:W3CDTF">2016-09-26T03:04:00Z</dcterms:modified>
</cp:coreProperties>
</file>