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A2E" w:rsidRPr="00855E30" w:rsidRDefault="00250A2E" w:rsidP="00855E30">
      <w:pPr>
        <w:pStyle w:val="a7"/>
      </w:pPr>
    </w:p>
    <w:p w:rsidR="00250A2E" w:rsidRPr="00855E30" w:rsidRDefault="00250A2E" w:rsidP="00855E30">
      <w:pPr>
        <w:pStyle w:val="a7"/>
      </w:pPr>
      <w:r w:rsidRPr="00855E30">
        <w:rPr>
          <w:noProof/>
          <w:sz w:val="11"/>
        </w:rPr>
        <w:drawing>
          <wp:inline distT="0" distB="0" distL="0" distR="0" wp14:anchorId="2E6F6D7F" wp14:editId="03C87ECD">
            <wp:extent cx="5553075" cy="3552825"/>
            <wp:effectExtent l="19050" t="0" r="9525" b="0"/>
            <wp:docPr id="2" name="图片 1" descr="http://res.img.ifeng.com/3adf821bfda551d1/2011/1229/rdn_4efbbf5c33f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.img.ifeng.com/3adf821bfda551d1/2011/1229/rdn_4efbbf5c33f7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08" w:rsidRPr="00855E30" w:rsidRDefault="00250A2E" w:rsidP="00855E30">
      <w:pPr>
        <w:pStyle w:val="a7"/>
      </w:pPr>
      <w:proofErr w:type="gramStart"/>
      <w:r w:rsidRPr="00855E30">
        <w:rPr>
          <w:rFonts w:hint="eastAsia"/>
        </w:rPr>
        <w:t>佛商慈善家</w:t>
      </w:r>
      <w:proofErr w:type="gramEnd"/>
      <w:r w:rsidRPr="00855E30">
        <w:rPr>
          <w:rFonts w:hint="eastAsia"/>
        </w:rPr>
        <w:t>曹德旺：低调行善</w:t>
      </w:r>
      <w:r w:rsidRPr="00855E30">
        <w:rPr>
          <w:rFonts w:hint="eastAsia"/>
        </w:rPr>
        <w:t xml:space="preserve"> </w:t>
      </w:r>
      <w:r w:rsidRPr="00855E30">
        <w:rPr>
          <w:rFonts w:hint="eastAsia"/>
        </w:rPr>
        <w:t>不做陈光标做雷锋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4"/>
          <w:szCs w:val="44"/>
        </w:rPr>
        <w:t xml:space="preserve">http://v.ifeng.com/news/finance/201104/9a7ea7bd-bd0b-4d3a-ae9a-4bd0fd600b72.shtml?_from_ralated </w:t>
      </w:r>
      <w:r w:rsidRPr="00855E30">
        <w:rPr>
          <w:rFonts w:ascii="微软雅黑" w:eastAsia="微软雅黑" w:hAnsi="微软雅黑"/>
          <w:b/>
          <w:sz w:val="22"/>
          <w:szCs w:val="44"/>
        </w:rPr>
        <w:t>2011年，陈光标的“首善”光环随着“戏作过头”、“暴力慈善”、“捐款不实”等沸沸扬扬的舆论逐渐退去。而另一个名字——曹德旺，却以“佛商式慈善”进入人们的视线。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2011年4月19日，《2011胡润慈善榜》发布，他以年45.8 亿元的惊人捐款额成为“中国最慷慨的慈善家”。同日，《福布斯》发布的慈善榜单上，曹德旺也位居第二。</w:t>
      </w:r>
    </w:p>
    <w:p w:rsidR="006073AD" w:rsidRPr="00855E30" w:rsidRDefault="006073AD" w:rsidP="00855E30">
      <w:pPr>
        <w:pStyle w:val="a7"/>
        <w:rPr>
          <w:b/>
          <w:sz w:val="22"/>
          <w:szCs w:val="21"/>
        </w:rPr>
      </w:pPr>
      <w:r w:rsidRPr="00855E30">
        <w:rPr>
          <w:b/>
          <w:sz w:val="22"/>
          <w:szCs w:val="21"/>
        </w:rPr>
        <w:t>胡润研究院日前发布《</w:t>
      </w:r>
      <w:r w:rsidRPr="00855E30">
        <w:rPr>
          <w:b/>
          <w:sz w:val="22"/>
          <w:szCs w:val="21"/>
        </w:rPr>
        <w:t>2011</w:t>
      </w:r>
      <w:r w:rsidRPr="00855E30">
        <w:rPr>
          <w:b/>
          <w:sz w:val="22"/>
          <w:szCs w:val="21"/>
        </w:rPr>
        <w:t>胡润慈善榜》，玻璃大王曹德旺家族以</w:t>
      </w:r>
      <w:r w:rsidRPr="00855E30">
        <w:rPr>
          <w:b/>
          <w:sz w:val="22"/>
          <w:szCs w:val="21"/>
        </w:rPr>
        <w:t>45.8</w:t>
      </w:r>
      <w:r w:rsidRPr="00855E30">
        <w:rPr>
          <w:b/>
          <w:sz w:val="22"/>
          <w:szCs w:val="21"/>
        </w:rPr>
        <w:t>亿元的捐赠额，成为</w:t>
      </w:r>
      <w:r w:rsidRPr="00855E30">
        <w:rPr>
          <w:b/>
          <w:sz w:val="22"/>
          <w:szCs w:val="21"/>
        </w:rPr>
        <w:t>“</w:t>
      </w:r>
      <w:r w:rsidRPr="00855E30">
        <w:rPr>
          <w:b/>
          <w:sz w:val="22"/>
          <w:szCs w:val="21"/>
        </w:rPr>
        <w:t>中国最慷慨的慈善家</w:t>
      </w:r>
      <w:r w:rsidRPr="00855E30">
        <w:rPr>
          <w:b/>
          <w:sz w:val="22"/>
          <w:szCs w:val="21"/>
        </w:rPr>
        <w:t>”</w:t>
      </w:r>
      <w:r w:rsidRPr="00855E30">
        <w:rPr>
          <w:b/>
          <w:sz w:val="22"/>
          <w:szCs w:val="21"/>
        </w:rPr>
        <w:t>。</w:t>
      </w:r>
    </w:p>
    <w:p w:rsidR="006073AD" w:rsidRPr="00855E30" w:rsidRDefault="006073AD" w:rsidP="00855E30">
      <w:pPr>
        <w:pStyle w:val="a7"/>
        <w:rPr>
          <w:b/>
          <w:sz w:val="22"/>
          <w:szCs w:val="21"/>
        </w:rPr>
      </w:pPr>
      <w:r w:rsidRPr="00855E30">
        <w:rPr>
          <w:b/>
          <w:sz w:val="22"/>
          <w:szCs w:val="21"/>
        </w:rPr>
        <w:t>除了</w:t>
      </w:r>
      <w:r w:rsidRPr="00855E30">
        <w:rPr>
          <w:b/>
          <w:sz w:val="22"/>
          <w:szCs w:val="21"/>
        </w:rPr>
        <w:t>“</w:t>
      </w:r>
      <w:r w:rsidRPr="00855E30">
        <w:rPr>
          <w:b/>
          <w:sz w:val="22"/>
          <w:szCs w:val="21"/>
        </w:rPr>
        <w:t>最慷慨</w:t>
      </w:r>
      <w:r w:rsidRPr="00855E30">
        <w:rPr>
          <w:b/>
          <w:sz w:val="22"/>
          <w:szCs w:val="21"/>
        </w:rPr>
        <w:t>”</w:t>
      </w:r>
      <w:r w:rsidRPr="00855E30">
        <w:rPr>
          <w:b/>
          <w:sz w:val="22"/>
          <w:szCs w:val="21"/>
        </w:rPr>
        <w:t>，曹德旺还有另外一重</w:t>
      </w:r>
      <w:r w:rsidRPr="00855E30">
        <w:rPr>
          <w:b/>
          <w:sz w:val="22"/>
          <w:szCs w:val="21"/>
        </w:rPr>
        <w:t>“</w:t>
      </w:r>
      <w:r w:rsidRPr="00855E30">
        <w:rPr>
          <w:b/>
          <w:sz w:val="22"/>
          <w:szCs w:val="21"/>
        </w:rPr>
        <w:t>最</w:t>
      </w:r>
      <w:r w:rsidRPr="00855E30">
        <w:rPr>
          <w:b/>
          <w:sz w:val="22"/>
          <w:szCs w:val="21"/>
        </w:rPr>
        <w:t>”</w:t>
      </w:r>
      <w:r w:rsidRPr="00855E30">
        <w:rPr>
          <w:b/>
          <w:sz w:val="22"/>
          <w:szCs w:val="21"/>
        </w:rPr>
        <w:t>，那就是</w:t>
      </w:r>
      <w:r w:rsidRPr="00855E30">
        <w:rPr>
          <w:b/>
          <w:sz w:val="22"/>
          <w:szCs w:val="21"/>
        </w:rPr>
        <w:t>——“</w:t>
      </w:r>
      <w:r w:rsidRPr="00855E30">
        <w:rPr>
          <w:b/>
          <w:sz w:val="22"/>
          <w:szCs w:val="21"/>
        </w:rPr>
        <w:t>最苛刻的慈善家</w:t>
      </w:r>
      <w:r w:rsidRPr="00855E30">
        <w:rPr>
          <w:b/>
          <w:sz w:val="22"/>
          <w:szCs w:val="21"/>
        </w:rPr>
        <w:t>”</w:t>
      </w:r>
      <w:r w:rsidRPr="00855E30">
        <w:rPr>
          <w:b/>
          <w:sz w:val="22"/>
          <w:szCs w:val="21"/>
        </w:rPr>
        <w:t>。</w:t>
      </w:r>
    </w:p>
    <w:p w:rsidR="006073AD" w:rsidRPr="00855E30" w:rsidRDefault="006073AD" w:rsidP="00855E30">
      <w:pPr>
        <w:pStyle w:val="a7"/>
        <w:rPr>
          <w:rFonts w:ascii="微软雅黑" w:eastAsia="微软雅黑" w:hAnsi="微软雅黑"/>
          <w:b/>
          <w:sz w:val="22"/>
          <w:szCs w:val="21"/>
        </w:rPr>
      </w:pPr>
      <w:r w:rsidRPr="00855E30">
        <w:rPr>
          <w:rFonts w:ascii="微软雅黑" w:eastAsia="微软雅黑" w:hAnsi="微软雅黑"/>
          <w:b/>
          <w:sz w:val="22"/>
          <w:szCs w:val="21"/>
        </w:rPr>
        <w:t>这个称号源于2010年5月，曹德旺向西南五省区灾民两亿元钱的捐款，当时他向合同执行方中国扶贫基金会开出的条件，是要求其半年内必须将两亿元善款发放到近10万农户手中，差错率不得超过1%，管理费不超过3%。这无疑远低于我国《基金会管理办法》规定的最高10%的管理费比例。</w:t>
      </w:r>
    </w:p>
    <w:p w:rsidR="006073AD" w:rsidRPr="00855E30" w:rsidRDefault="006073AD" w:rsidP="00855E30">
      <w:pPr>
        <w:pStyle w:val="a7"/>
        <w:rPr>
          <w:b/>
          <w:sz w:val="22"/>
          <w:szCs w:val="21"/>
        </w:rPr>
      </w:pPr>
      <w:r w:rsidRPr="00855E30">
        <w:rPr>
          <w:b/>
          <w:sz w:val="22"/>
          <w:szCs w:val="21"/>
        </w:rPr>
        <w:t>合同还规定，曹德旺有权对善款发放情况进行抽查，差错率如果超过</w:t>
      </w:r>
      <w:r w:rsidRPr="00855E30">
        <w:rPr>
          <w:b/>
          <w:sz w:val="22"/>
          <w:szCs w:val="21"/>
        </w:rPr>
        <w:t>1%</w:t>
      </w:r>
      <w:r w:rsidRPr="00855E30">
        <w:rPr>
          <w:b/>
          <w:sz w:val="22"/>
          <w:szCs w:val="21"/>
        </w:rPr>
        <w:t>，基金会要按超出部分的资金的</w:t>
      </w:r>
      <w:r w:rsidRPr="00855E30">
        <w:rPr>
          <w:b/>
          <w:sz w:val="22"/>
          <w:szCs w:val="21"/>
        </w:rPr>
        <w:t>30</w:t>
      </w:r>
      <w:r w:rsidRPr="00855E30">
        <w:rPr>
          <w:b/>
          <w:sz w:val="22"/>
          <w:szCs w:val="21"/>
        </w:rPr>
        <w:t>倍进行赔偿。</w:t>
      </w:r>
    </w:p>
    <w:p w:rsidR="006073AD" w:rsidRPr="00855E30" w:rsidRDefault="006073AD" w:rsidP="00855E30">
      <w:pPr>
        <w:pStyle w:val="a7"/>
        <w:rPr>
          <w:rFonts w:ascii="微软雅黑" w:eastAsia="微软雅黑" w:hAnsi="微软雅黑"/>
          <w:color w:val="FF0000"/>
          <w:szCs w:val="21"/>
        </w:rPr>
      </w:pPr>
      <w:r w:rsidRPr="00855E30">
        <w:rPr>
          <w:rFonts w:ascii="微软雅黑" w:eastAsia="微软雅黑" w:hAnsi="微软雅黑"/>
          <w:color w:val="FF0000"/>
          <w:szCs w:val="21"/>
        </w:rPr>
        <w:t>“慈善事业应该装在玻璃瓶中”，但大多数基金会，大多数捐款行为，依然在一种不透明的</w:t>
      </w:r>
      <w:r w:rsidRPr="00855E30">
        <w:rPr>
          <w:rFonts w:ascii="微软雅黑" w:eastAsia="微软雅黑" w:hAnsi="微软雅黑"/>
          <w:color w:val="FF0000"/>
          <w:szCs w:val="21"/>
        </w:rPr>
        <w:lastRenderedPageBreak/>
        <w:t>状态下运作，虽然民间要求改变的呼声很高，但处于垄断地位的公</w:t>
      </w:r>
      <w:proofErr w:type="gramStart"/>
      <w:r w:rsidRPr="00855E30">
        <w:rPr>
          <w:rFonts w:ascii="微软雅黑" w:eastAsia="微软雅黑" w:hAnsi="微软雅黑"/>
          <w:color w:val="FF0000"/>
          <w:szCs w:val="21"/>
        </w:rPr>
        <w:t>募基金</w:t>
      </w:r>
      <w:proofErr w:type="gramEnd"/>
      <w:r w:rsidRPr="00855E30">
        <w:rPr>
          <w:rFonts w:ascii="微软雅黑" w:eastAsia="微软雅黑" w:hAnsi="微软雅黑"/>
          <w:color w:val="FF0000"/>
          <w:szCs w:val="21"/>
        </w:rPr>
        <w:t>仍然无动于衷，中国的慈善事业需要的是一场革命，这也正是曹德旺想要努力的方向。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这位新“首善”表现得似乎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很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低调、很平和。在人们眼里，他有一份对慈善的虔诚，并以此默默地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行着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佛家善道。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当然，这不等于他对慈善事业的热情是盲目与软弱的，相反，他对自己所坚守的“曹式慈善”，颇有一套理论与方法。他开创了捐赠股权设立慈善基金的先河。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color w:val="FF0000"/>
          <w:sz w:val="22"/>
          <w:szCs w:val="44"/>
        </w:rPr>
      </w:pPr>
      <w:r w:rsidRPr="00855E30">
        <w:rPr>
          <w:rStyle w:val="a4"/>
          <w:rFonts w:ascii="微软雅黑" w:eastAsia="微软雅黑" w:hAnsi="微软雅黑"/>
          <w:color w:val="FF0000"/>
          <w:sz w:val="22"/>
          <w:szCs w:val="44"/>
        </w:rPr>
        <w:t>“不在乎别人怎么讲，关键在于我怎么做”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color w:val="FF0000"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股权捐赠模式其实在国外很常见。微软创始人比尔·盖茨的“比尔和梅林达盖茨基金会”就是通过股权捐赠的方式实现慈善愿望的。但是，由于当时中国的法律法规并不健全，加之相关部门审批冗繁，曹德旺从</w:t>
      </w:r>
      <w:r w:rsidRPr="00855E30">
        <w:rPr>
          <w:rFonts w:ascii="微软雅黑" w:eastAsia="微软雅黑" w:hAnsi="微软雅黑"/>
          <w:b/>
          <w:color w:val="FF0000"/>
          <w:sz w:val="22"/>
          <w:szCs w:val="44"/>
        </w:rPr>
        <w:t>2009年对外公布的捐赠70%股份一事，直到今年才得以落实。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三年的等待并不短暂。之前，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牛根生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等人曾经也遭遇了和曹德旺相似的一幕——从最初热情满满地宣称捐赠，到遭遇现实的无奈拖延，再到舆论质疑不满和抨击……最后，他们赢在了对慈善的虔诚和坚忍上。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在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等待河仁基金会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批文的两年多时间里，曹德旺被舆论推到风口浪尖：说他是“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作秀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”、说他在“避税”，但是，对于这一切，他说他并不在意。有朋友摘录下来外界质疑的种种声音给他看，他甚至都没有看完。他说：“没有关系，没有问题，怎么讲我都接受的。因为你只要记得世界上还有曹德旺，我就非常满足了。不在乎别人怎么讲，关键在于我怎么做”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如此方法是不是曹德旺“避税”的高招？曹德旺坚定地说：“我本都捐出来了，哪还有利！缴税的目的是为了调节，是把有钱人口袋里头的钱拿出来做一个国家财政帮扶落后的群体。试想一下，我把东西都送给你了，所得税所得税，顾名思义所得的税。现在不</w:t>
      </w:r>
      <w:r w:rsidRPr="00855E30">
        <w:rPr>
          <w:rFonts w:ascii="微软雅黑" w:eastAsia="微软雅黑" w:hAnsi="微软雅黑"/>
          <w:b/>
          <w:sz w:val="22"/>
          <w:szCs w:val="44"/>
        </w:rPr>
        <w:lastRenderedPageBreak/>
        <w:t>是我所得，是他所得，你说谁交？当然是交，这不存在避税的问题。因为我捐出去完以后，剩下来的也不会因为捐赠而国家少收我的所得税，没有。”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color w:val="FF0000"/>
          <w:sz w:val="22"/>
          <w:szCs w:val="44"/>
        </w:rPr>
      </w:pPr>
      <w:r w:rsidRPr="00855E30">
        <w:rPr>
          <w:rStyle w:val="a4"/>
          <w:rFonts w:ascii="微软雅黑" w:eastAsia="微软雅黑" w:hAnsi="微软雅黑"/>
          <w:color w:val="FF0000"/>
          <w:sz w:val="22"/>
          <w:szCs w:val="44"/>
        </w:rPr>
        <w:t>“曹式”监管与问责 “只要足够透明，还怕捐赠人不往里面送钱吗？”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国际上通行的慈善，是将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钱捐入官方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组织，比如慈善总会，由官方机构进行具体的分配。富豪们只负责捐钱。如盖茨、巴菲特等人都是只捐不“管”的。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慈善组织和个人是需要剥离的。如果是个人将钱直接送入被捐助对象手中，充其量也只是“学雷锋”。而陈光标或许因为个人的观念，也或许因为国内慈善制度的不成熟，才会只“学雷锋”，进行一种“暴力非主流慈善”，而不是开展真正意义上的慈善活动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而曹德旺，试图尝试着做真正的慈善，也试着打破中国慈善这一层“不透明”的硬壳。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2011年4月，一张上海卢湾区红十字会的近万元“天价账单”在网上被披露。“这是几个人吃的？捐款的钱都成发票了？”有网友提出希望卢湾区红十字会给出解释，这近万元的餐费招待了谁。但是最终，这个事件只是以退款告终。由此大量民众对红十字会的通报感觉不满意，甚至对整个中国公益事业失去了信心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由此可见，中国慈善业最缺乏的是监管机制，还有信息的透明度。虽然曹德旺知道，靠自己根本无力改变现状，但是，他认为，自己已经花了这么多钱，就要在规章制度透明化上下功夫。他一直用上市公司的标准来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进行河仁基金会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的信息披露——将基金会的任何事情都在报纸等媒体上公开发布。虽然他不过问善款的去向，但是，他必须知情。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color w:val="FF0000"/>
          <w:sz w:val="22"/>
          <w:szCs w:val="44"/>
        </w:rPr>
        <w:t>早在2010年3月，西南五省大旱，曹德旺决定捐款2亿元。</w:t>
      </w:r>
      <w:r w:rsidRPr="00855E30">
        <w:rPr>
          <w:rFonts w:ascii="微软雅黑" w:eastAsia="微软雅黑" w:hAnsi="微软雅黑"/>
          <w:b/>
          <w:sz w:val="22"/>
          <w:szCs w:val="44"/>
        </w:rPr>
        <w:t>消息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甫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一发出，中国扶贫基金会迅速“盯”上了他。他们希望曹德旺能将这笔款项捐给基金会，再通过基金会发放到灾民手中。经过多次会面与说服，曹德旺终于应允了，其时，他身边还有两个人，一个是他的律师，一个是央视《经济半小时》的主编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color w:val="FF0000"/>
          <w:sz w:val="22"/>
          <w:szCs w:val="44"/>
        </w:rPr>
      </w:pPr>
      <w:r w:rsidRPr="00855E30">
        <w:rPr>
          <w:rStyle w:val="a4"/>
          <w:rFonts w:ascii="微软雅黑" w:eastAsia="微软雅黑" w:hAnsi="微软雅黑"/>
          <w:color w:val="FF0000"/>
          <w:sz w:val="22"/>
          <w:szCs w:val="44"/>
        </w:rPr>
        <w:t>“律师是代表我来谈具体条件的，主编是我带来监督你们的。”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lastRenderedPageBreak/>
        <w:t>因为，他提出：在善款下发之后，由曹氏父子组成的监督委员会将随机抽检10%的家庭，如发现超过1%的不合格率，中国扶贫基金会需按照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查抽获得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的超过1%部分缺损比例的30倍予以赔偿。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为保障项目运转， 基金会一般会收取善款一部分的“ 管理费”，行规一般为善款的8%-10%，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但曹一开始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提出，只愿意给1.5%，也就是300万元。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经扶贫基金会初步核算，至少要项目管理费的5%才能做成。最初，曹德旺开出的条件让他们无法接受，经过讨价还价，最后各让一步，确定为3%，也就是600万元。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曹德旺还提出，所有项目需要在11月30日之前完成，在此之后，如果还有捐赠款没有发放到户，这些善款将全部收回。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曹德旺不认为这些规定是苛刻的。“我拿到灾区去，灾区的那些干部吃皇粮，他必须为老百姓服务，当然我可以不付他的薪酬，政府已经付给他了。至于准确率必须按照我的要求，你可以做得到为什么不做？正处在水深火热之中，非常困难的时候，你不及时把钱划下去，你干什么？”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他的苛刻并不是没有来由。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汶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川地震，他捐赠了两千多万；玉树地震，他捐了1亿，但是最后钱花到了哪里，他不清楚。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学者章立凡曾经在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微博上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看到一条中国扶贫基金会号召向云南迎江震区援助的消息。消息称，希望有心人每人捐赠200元，为一户受灾家庭解决一个月口粮，并要求大家大力转发。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章立凡先生在转发这条消息的同时，更呼吁扶贫基金会学习2010年曹德旺向西南五省干旱重灾区捐款2亿的透明“苛刻”模式，细化流程。遗憾的是，后来，本条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微博发布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者不再发布类似信息，此次募捐仿佛也已经不了了之。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color w:val="FF0000"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这或许就是曹德旺必须亲力亲为保护自己的善款的理由，这也是无奈之举。</w:t>
      </w:r>
      <w:r w:rsidRPr="00855E30">
        <w:rPr>
          <w:rFonts w:ascii="微软雅黑" w:eastAsia="微软雅黑" w:hAnsi="微软雅黑"/>
          <w:b/>
          <w:color w:val="FF0000"/>
          <w:sz w:val="22"/>
          <w:szCs w:val="44"/>
        </w:rPr>
        <w:t>他需要一个</w:t>
      </w:r>
      <w:r w:rsidRPr="00855E30">
        <w:rPr>
          <w:rFonts w:ascii="微软雅黑" w:eastAsia="微软雅黑" w:hAnsi="微软雅黑"/>
          <w:b/>
          <w:color w:val="FF0000"/>
          <w:sz w:val="22"/>
          <w:szCs w:val="44"/>
        </w:rPr>
        <w:lastRenderedPageBreak/>
        <w:t>透明的“玻璃缸”，让他看到钱在里面是怎么“转”的。他说，“只要足够透明，还怕捐赠人不往里面送钱吗？”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color w:val="FF0000"/>
          <w:sz w:val="28"/>
          <w:szCs w:val="44"/>
        </w:rPr>
      </w:pPr>
      <w:r w:rsidRPr="00855E30">
        <w:rPr>
          <w:rStyle w:val="a4"/>
          <w:rFonts w:ascii="微软雅黑" w:eastAsia="微软雅黑" w:hAnsi="微软雅黑"/>
          <w:color w:val="FF0000"/>
          <w:sz w:val="28"/>
          <w:szCs w:val="44"/>
        </w:rPr>
        <w:t>力主“低调慈善”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与“既是富人又要做事”的陈光标相比，曹德旺希望自己的一举一动，能够贴近与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世界公益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机构的标准。他绝不当自己的形象大使。如果让他选择，他说，不会</w:t>
      </w:r>
      <w:proofErr w:type="gramStart"/>
      <w:r w:rsidRPr="00855E30">
        <w:rPr>
          <w:rFonts w:ascii="微软雅黑" w:eastAsia="微软雅黑" w:hAnsi="微软雅黑"/>
          <w:b/>
          <w:sz w:val="22"/>
          <w:szCs w:val="44"/>
        </w:rPr>
        <w:t>走陈光标</w:t>
      </w:r>
      <w:proofErr w:type="gramEnd"/>
      <w:r w:rsidRPr="00855E30">
        <w:rPr>
          <w:rFonts w:ascii="微软雅黑" w:eastAsia="微软雅黑" w:hAnsi="微软雅黑"/>
          <w:b/>
          <w:sz w:val="22"/>
          <w:szCs w:val="44"/>
        </w:rPr>
        <w:t>的高调路线，宁可选择捐了很多钱，但别人不知道。他还说，中国有几千年的慈善文明——中国人提倡不带相布施，捐赠的时候隐姓埋名，不让别人知道你做了什么。</w:t>
      </w:r>
      <w:r w:rsidRPr="00855E30">
        <w:rPr>
          <w:rFonts w:ascii="微软雅黑" w:eastAsia="微软雅黑" w:hAnsi="微软雅黑"/>
          <w:b/>
          <w:color w:val="FF0000"/>
          <w:sz w:val="22"/>
          <w:szCs w:val="44"/>
        </w:rPr>
        <w:t>施恩</w:t>
      </w:r>
      <w:proofErr w:type="gramStart"/>
      <w:r w:rsidRPr="00855E30">
        <w:rPr>
          <w:rFonts w:ascii="微软雅黑" w:eastAsia="微软雅黑" w:hAnsi="微软雅黑"/>
          <w:b/>
          <w:color w:val="FF0000"/>
          <w:sz w:val="22"/>
          <w:szCs w:val="44"/>
        </w:rPr>
        <w:t>不</w:t>
      </w:r>
      <w:proofErr w:type="gramEnd"/>
      <w:r w:rsidRPr="00855E30">
        <w:rPr>
          <w:rFonts w:ascii="微软雅黑" w:eastAsia="微软雅黑" w:hAnsi="微软雅黑"/>
          <w:b/>
          <w:color w:val="FF0000"/>
          <w:sz w:val="22"/>
          <w:szCs w:val="44"/>
        </w:rPr>
        <w:t>图报，</w:t>
      </w:r>
      <w:proofErr w:type="gramStart"/>
      <w:r w:rsidRPr="00855E30">
        <w:rPr>
          <w:rFonts w:ascii="微软雅黑" w:eastAsia="微软雅黑" w:hAnsi="微软雅黑"/>
          <w:b/>
          <w:color w:val="FF0000"/>
          <w:sz w:val="22"/>
          <w:szCs w:val="44"/>
        </w:rPr>
        <w:t>图报非</w:t>
      </w:r>
      <w:proofErr w:type="gramEnd"/>
      <w:r w:rsidRPr="00855E30">
        <w:rPr>
          <w:rFonts w:ascii="微软雅黑" w:eastAsia="微软雅黑" w:hAnsi="微软雅黑"/>
          <w:b/>
          <w:color w:val="FF0000"/>
          <w:sz w:val="22"/>
          <w:szCs w:val="44"/>
        </w:rPr>
        <w:t>君子。</w:t>
      </w:r>
      <w:r w:rsidRPr="00855E30">
        <w:rPr>
          <w:rFonts w:ascii="微软雅黑" w:eastAsia="微软雅黑" w:hAnsi="微软雅黑"/>
          <w:b/>
          <w:sz w:val="22"/>
          <w:szCs w:val="44"/>
        </w:rPr>
        <w:t>他一直认为，慈善不应该高调。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8"/>
          <w:szCs w:val="44"/>
        </w:rPr>
      </w:pPr>
      <w:r w:rsidRPr="00855E30">
        <w:rPr>
          <w:rStyle w:val="a4"/>
          <w:rFonts w:ascii="微软雅黑" w:eastAsia="微软雅黑" w:hAnsi="微软雅黑"/>
          <w:color w:val="003366"/>
          <w:sz w:val="28"/>
          <w:szCs w:val="44"/>
        </w:rPr>
        <w:t>他信佛。佛家提倡修行，他说，修行要修出公德。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color w:val="FF0000"/>
          <w:sz w:val="22"/>
          <w:szCs w:val="44"/>
        </w:rPr>
      </w:pPr>
      <w:bookmarkStart w:id="0" w:name="_GoBack"/>
      <w:r w:rsidRPr="00855E30">
        <w:rPr>
          <w:rFonts w:ascii="微软雅黑" w:eastAsia="微软雅黑" w:hAnsi="微软雅黑"/>
          <w:b/>
          <w:sz w:val="22"/>
          <w:szCs w:val="44"/>
        </w:rPr>
        <w:t>“什么是公德？公平是公，施予是德，虔诚是公，真实是德。”宗教，是神奇的。</w:t>
      </w:r>
      <w:r w:rsidRPr="00855E30">
        <w:rPr>
          <w:rFonts w:ascii="微软雅黑" w:eastAsia="微软雅黑" w:hAnsi="微软雅黑"/>
          <w:b/>
          <w:color w:val="FF0000"/>
          <w:sz w:val="22"/>
          <w:szCs w:val="44"/>
        </w:rPr>
        <w:t>曹德</w:t>
      </w:r>
      <w:bookmarkEnd w:id="0"/>
      <w:r w:rsidRPr="00855E30">
        <w:rPr>
          <w:rFonts w:ascii="微软雅黑" w:eastAsia="微软雅黑" w:hAnsi="微软雅黑"/>
          <w:b/>
          <w:color w:val="FF0000"/>
          <w:sz w:val="22"/>
          <w:szCs w:val="44"/>
        </w:rPr>
        <w:t>旺用佛教中的信仰和教条指引着自己的人生。他信佛教中的因果，自己也一直恪守感恩、无求的信仰。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他喜欢做慈善。“捐款，我是出于一种共享的心态，与社会共享，也是回报社会、回报国家的一种具体的措施”。至于对他这些年来所做的善举，他只是说，这是“向社会粗浅地表达感激之情”的方式。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当《小崔说事》中，受他捐助的农民来到现场，哭着向他感谢“终于可以买米了”，他只是静静地看着——不是投去居高临下满怀怜悯的目光，或是发表一通豪言壮语，他只是那么静静地看着。信佛的他还投钱修建了很多寺庙，但是，这不仅仅因为他是佛教徒，“我认为这是一门哲学，应该让中国人受这方面的影响，在他们的骨肉上面增加一个灵魂”。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他曾花很多钱，为自己得了重病的员工治病。他不觉得这是一件难于执行的事，虽然很多企业老板都做不到这一点。“我爸以前跟我讲，草没有心，就不能发芽。你今后开店，</w:t>
      </w:r>
      <w:r w:rsidRPr="00855E30">
        <w:rPr>
          <w:rFonts w:ascii="微软雅黑" w:eastAsia="微软雅黑" w:hAnsi="微软雅黑"/>
          <w:b/>
          <w:sz w:val="22"/>
          <w:szCs w:val="44"/>
        </w:rPr>
        <w:lastRenderedPageBreak/>
        <w:t>早上起来的时候开店门，如果发现有人病倒在你的店门前，你做的第一件事情先把他扶起来，然后给他灌热水；然后如果有吃的，给他煮一碗面条吃；如果他吃掉还不能好的话，要赶快送医院，这是人性的道理。”</w:t>
      </w:r>
    </w:p>
    <w:p w:rsidR="00250A2E" w:rsidRPr="00855E30" w:rsidRDefault="00250A2E" w:rsidP="00855E30">
      <w:pPr>
        <w:pStyle w:val="a7"/>
        <w:rPr>
          <w:rFonts w:ascii="微软雅黑" w:eastAsia="微软雅黑" w:hAnsi="微软雅黑"/>
          <w:b/>
          <w:color w:val="FF0000"/>
          <w:sz w:val="22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当初，他也被质疑过，同现在的陈光标一样。他认为，这不需要难过，这是很正常的事情。</w:t>
      </w:r>
      <w:r w:rsidRPr="00855E30">
        <w:rPr>
          <w:rFonts w:ascii="微软雅黑" w:eastAsia="微软雅黑" w:hAnsi="微软雅黑"/>
          <w:b/>
          <w:color w:val="FF0000"/>
          <w:sz w:val="22"/>
          <w:szCs w:val="44"/>
        </w:rPr>
        <w:t>做一件事情难免有不同的声音产生，只要用最多的精力去考虑怎样做到最完美——别人说这件事太假，那做真一点就好了。</w:t>
      </w:r>
    </w:p>
    <w:p w:rsidR="00250A2E" w:rsidRPr="00250A2E" w:rsidRDefault="00250A2E" w:rsidP="00855E30">
      <w:pPr>
        <w:pStyle w:val="a7"/>
        <w:rPr>
          <w:rFonts w:ascii="微软雅黑" w:eastAsia="微软雅黑" w:hAnsi="微软雅黑"/>
          <w:b/>
          <w:sz w:val="44"/>
          <w:szCs w:val="44"/>
        </w:rPr>
      </w:pPr>
      <w:r w:rsidRPr="00855E30">
        <w:rPr>
          <w:rFonts w:ascii="微软雅黑" w:eastAsia="微软雅黑" w:hAnsi="微软雅黑"/>
          <w:b/>
          <w:sz w:val="22"/>
          <w:szCs w:val="44"/>
        </w:rPr>
        <w:t>现在，他最多的就是被人跟陈光标作比。他曾经表示自己不会像陈光标那样，“希望自己像雷锋一样在史上留名”。“雷锋不是他自己把名字写在墙上的，留不留名是非功过由后人评说，你死了以后也不知道有没有留。如果陈光标再讲这句话，你跟他讲，我如果在他身后死，我会在墙壁上写曾经有过陈光标的。可这有什么用呢！”</w:t>
      </w:r>
      <w:r w:rsidRPr="00250A2E">
        <w:rPr>
          <w:rFonts w:ascii="微软雅黑" w:eastAsia="微软雅黑" w:hAnsi="微软雅黑"/>
          <w:b/>
          <w:bCs/>
          <w:noProof/>
          <w:color w:val="004276"/>
          <w:sz w:val="44"/>
          <w:szCs w:val="44"/>
        </w:rPr>
        <w:drawing>
          <wp:inline distT="0" distB="0" distL="0" distR="0" wp14:anchorId="3DB533E6" wp14:editId="6B94C596">
            <wp:extent cx="142875" cy="161925"/>
            <wp:effectExtent l="19050" t="0" r="9525" b="0"/>
            <wp:docPr id="4" name="图片 4" descr="http://img.ifeng.com/page/Logo.gif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ifeng.com/page/Logo.gif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2E" w:rsidRPr="00250A2E" w:rsidRDefault="00250A2E">
      <w:pPr>
        <w:rPr>
          <w:rFonts w:ascii="微软雅黑" w:eastAsia="微软雅黑" w:hAnsi="微软雅黑"/>
          <w:b/>
          <w:sz w:val="44"/>
          <w:szCs w:val="44"/>
        </w:rPr>
      </w:pPr>
    </w:p>
    <w:sectPr w:rsidR="00250A2E" w:rsidRPr="00250A2E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D9B" w:rsidRDefault="00937D9B" w:rsidP="006073AD">
      <w:r>
        <w:separator/>
      </w:r>
    </w:p>
  </w:endnote>
  <w:endnote w:type="continuationSeparator" w:id="0">
    <w:p w:rsidR="00937D9B" w:rsidRDefault="00937D9B" w:rsidP="0060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D9B" w:rsidRDefault="00937D9B" w:rsidP="006073AD">
      <w:r>
        <w:separator/>
      </w:r>
    </w:p>
  </w:footnote>
  <w:footnote w:type="continuationSeparator" w:id="0">
    <w:p w:rsidR="00937D9B" w:rsidRDefault="00937D9B" w:rsidP="00607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0A2E"/>
    <w:rsid w:val="00250A2E"/>
    <w:rsid w:val="00294F0B"/>
    <w:rsid w:val="00307CDC"/>
    <w:rsid w:val="003A39CA"/>
    <w:rsid w:val="006073AD"/>
    <w:rsid w:val="0074491F"/>
    <w:rsid w:val="00855E30"/>
    <w:rsid w:val="00937D9B"/>
    <w:rsid w:val="00B70D91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0A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0A2E"/>
    <w:rPr>
      <w:sz w:val="18"/>
      <w:szCs w:val="18"/>
    </w:rPr>
  </w:style>
  <w:style w:type="character" w:customStyle="1" w:styleId="ifenglogo">
    <w:name w:val="ifenglogo"/>
    <w:basedOn w:val="a0"/>
    <w:rsid w:val="00250A2E"/>
  </w:style>
  <w:style w:type="character" w:styleId="a4">
    <w:name w:val="Strong"/>
    <w:basedOn w:val="a0"/>
    <w:uiPriority w:val="22"/>
    <w:qFormat/>
    <w:rsid w:val="00250A2E"/>
    <w:rPr>
      <w:b/>
      <w:bCs/>
    </w:rPr>
  </w:style>
  <w:style w:type="paragraph" w:styleId="a5">
    <w:name w:val="header"/>
    <w:basedOn w:val="a"/>
    <w:link w:val="Char0"/>
    <w:uiPriority w:val="99"/>
    <w:semiHidden/>
    <w:unhideWhenUsed/>
    <w:rsid w:val="00607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073A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0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073AD"/>
    <w:rPr>
      <w:sz w:val="18"/>
      <w:szCs w:val="18"/>
    </w:rPr>
  </w:style>
  <w:style w:type="paragraph" w:styleId="a7">
    <w:name w:val="No Spacing"/>
    <w:uiPriority w:val="1"/>
    <w:qFormat/>
    <w:rsid w:val="00855E3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123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814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033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e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565</Words>
  <Characters>3226</Characters>
  <Application>Microsoft Office Word</Application>
  <DocSecurity>0</DocSecurity>
  <Lines>26</Lines>
  <Paragraphs>7</Paragraphs>
  <ScaleCrop>false</ScaleCrop>
  <Company>DELL Limited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2015-01-26T12:12:00Z</cp:lastPrinted>
  <dcterms:created xsi:type="dcterms:W3CDTF">2011-12-30T00:12:00Z</dcterms:created>
  <dcterms:modified xsi:type="dcterms:W3CDTF">2015-01-26T12:13:00Z</dcterms:modified>
</cp:coreProperties>
</file>