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76D" w:rsidRPr="000C776D" w:rsidRDefault="000C776D" w:rsidP="000C776D">
      <w:pPr>
        <w:widowControl/>
        <w:shd w:val="clear" w:color="auto" w:fill="FAFCFF"/>
        <w:spacing w:after="225" w:line="432" w:lineRule="auto"/>
        <w:jc w:val="center"/>
        <w:outlineLvl w:val="1"/>
        <w:rPr>
          <w:rFonts w:ascii="黑体" w:eastAsia="黑体" w:hAnsi="黑体" w:cs="宋体"/>
          <w:b/>
          <w:kern w:val="36"/>
          <w:sz w:val="56"/>
          <w:szCs w:val="30"/>
        </w:rPr>
      </w:pPr>
      <w:r w:rsidRPr="00300292">
        <w:rPr>
          <w:rFonts w:ascii="黑体" w:eastAsia="黑体" w:hAnsi="黑体" w:cs="宋体" w:hint="eastAsia"/>
          <w:b/>
          <w:kern w:val="36"/>
          <w:sz w:val="56"/>
          <w:szCs w:val="30"/>
        </w:rPr>
        <w:t>香港收回捐款是一堂慈善监督课</w:t>
      </w:r>
    </w:p>
    <w:p w:rsidR="000C776D" w:rsidRPr="000C776D" w:rsidRDefault="000C776D" w:rsidP="00300292">
      <w:pPr>
        <w:widowControl/>
        <w:shd w:val="clear" w:color="auto" w:fill="FAFCFF"/>
        <w:spacing w:line="432" w:lineRule="auto"/>
        <w:ind w:firstLineChars="935" w:firstLine="4130"/>
        <w:jc w:val="left"/>
        <w:rPr>
          <w:rFonts w:ascii="宋体" w:eastAsia="宋体" w:hAnsi="宋体" w:cs="宋体" w:hint="eastAsia"/>
          <w:b/>
          <w:kern w:val="0"/>
          <w:sz w:val="44"/>
          <w:szCs w:val="18"/>
        </w:rPr>
      </w:pPr>
      <w:r w:rsidRPr="000C776D">
        <w:rPr>
          <w:rFonts w:ascii="宋体" w:eastAsia="宋体" w:hAnsi="宋体" w:cs="宋体" w:hint="eastAsia"/>
          <w:b/>
          <w:kern w:val="0"/>
          <w:sz w:val="44"/>
          <w:szCs w:val="18"/>
        </w:rPr>
        <w:t>李英锋</w:t>
      </w:r>
    </w:p>
    <w:p w:rsidR="000C776D" w:rsidRPr="000C776D" w:rsidRDefault="000C776D" w:rsidP="000C776D">
      <w:pPr>
        <w:widowControl/>
        <w:shd w:val="clear" w:color="auto" w:fill="FAFCFF"/>
        <w:spacing w:line="432" w:lineRule="auto"/>
        <w:jc w:val="center"/>
        <w:rPr>
          <w:rFonts w:ascii="宋体" w:eastAsia="宋体" w:hAnsi="宋体" w:cs="宋体" w:hint="eastAsia"/>
          <w:b/>
          <w:kern w:val="0"/>
          <w:sz w:val="44"/>
          <w:szCs w:val="18"/>
        </w:rPr>
      </w:pPr>
      <w:r w:rsidRPr="000C776D">
        <w:rPr>
          <w:rFonts w:ascii="宋体" w:eastAsia="宋体" w:hAnsi="宋体" w:cs="宋体" w:hint="eastAsia"/>
          <w:b/>
          <w:kern w:val="0"/>
          <w:sz w:val="44"/>
          <w:szCs w:val="18"/>
        </w:rPr>
        <w:t>2012年05月27日11:45 来源：</w:t>
      </w:r>
      <w:hyperlink r:id="rId6" w:history="1">
        <w:r w:rsidRPr="000C776D">
          <w:rPr>
            <w:rFonts w:ascii="宋体" w:eastAsia="宋体" w:hAnsi="宋体" w:cs="宋体" w:hint="eastAsia"/>
            <w:b/>
            <w:color w:val="000000"/>
            <w:kern w:val="0"/>
            <w:sz w:val="44"/>
            <w:szCs w:val="18"/>
          </w:rPr>
          <w:t>羊城晚报</w:t>
        </w:r>
      </w:hyperlink>
      <w:r w:rsidRPr="000C776D">
        <w:rPr>
          <w:rFonts w:ascii="宋体" w:eastAsia="宋体" w:hAnsi="宋体" w:cs="宋体" w:hint="eastAsia"/>
          <w:b/>
          <w:kern w:val="0"/>
          <w:sz w:val="44"/>
          <w:szCs w:val="18"/>
        </w:rPr>
        <w:t xml:space="preserve"> </w:t>
      </w:r>
    </w:p>
    <w:p w:rsidR="000C776D" w:rsidRPr="000C776D" w:rsidRDefault="000C776D" w:rsidP="000C776D">
      <w:pPr>
        <w:widowControl/>
        <w:shd w:val="clear" w:color="auto" w:fill="FAFCFF"/>
        <w:spacing w:before="300" w:after="225" w:line="432" w:lineRule="auto"/>
        <w:jc w:val="center"/>
        <w:outlineLvl w:val="3"/>
        <w:rPr>
          <w:rFonts w:ascii="宋体" w:eastAsia="宋体" w:hAnsi="宋体" w:cs="宋体" w:hint="eastAsia"/>
          <w:b/>
          <w:vanish/>
          <w:kern w:val="0"/>
          <w:sz w:val="44"/>
          <w:szCs w:val="18"/>
        </w:rPr>
      </w:pPr>
      <w:r w:rsidRPr="000C776D">
        <w:rPr>
          <w:rFonts w:ascii="宋体" w:eastAsia="宋体" w:hAnsi="宋体" w:cs="宋体" w:hint="eastAsia"/>
          <w:b/>
          <w:vanish/>
          <w:kern w:val="0"/>
          <w:sz w:val="44"/>
          <w:szCs w:val="18"/>
        </w:rPr>
        <w:t>分享到...</w:t>
      </w:r>
    </w:p>
    <w:p w:rsidR="000C776D" w:rsidRPr="000C776D" w:rsidRDefault="000C776D" w:rsidP="000C776D">
      <w:pPr>
        <w:widowControl/>
        <w:numPr>
          <w:ilvl w:val="0"/>
          <w:numId w:val="2"/>
        </w:numPr>
        <w:shd w:val="clear" w:color="auto" w:fill="FAFCFF"/>
        <w:spacing w:line="432" w:lineRule="auto"/>
        <w:ind w:left="0"/>
        <w:jc w:val="left"/>
        <w:rPr>
          <w:rFonts w:ascii="宋体" w:eastAsia="宋体" w:hAnsi="宋体" w:cs="宋体" w:hint="eastAsia"/>
          <w:b/>
          <w:vanish/>
          <w:kern w:val="0"/>
          <w:sz w:val="44"/>
          <w:szCs w:val="18"/>
        </w:rPr>
      </w:pPr>
      <w:hyperlink r:id="rId7" w:tooltip="分享到人人" w:history="1">
        <w:r w:rsidRPr="000C776D">
          <w:rPr>
            <w:rFonts w:ascii="宋体" w:eastAsia="宋体" w:hAnsi="宋体" w:cs="宋体"/>
            <w:b/>
            <w:noProof/>
            <w:vanish/>
            <w:color w:val="000000"/>
            <w:kern w:val="0"/>
            <w:sz w:val="44"/>
            <w:szCs w:val="18"/>
          </w:rPr>
          <w:drawing>
            <wp:inline distT="0" distB="0" distL="0" distR="0" wp14:anchorId="265ECF57" wp14:editId="1E44F3E8">
              <wp:extent cx="152400" cy="152400"/>
              <wp:effectExtent l="0" t="0" r="0" b="0"/>
              <wp:docPr id="1" name="图片 1" descr="分享到人人">
                <a:hlinkClick xmlns:a="http://schemas.openxmlformats.org/drawingml/2006/main" r:id="rId7" tooltip="分享到人人"/>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分享到人人">
                        <a:hlinkClick r:id="rId7" tooltip="分享到人人"/>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776D">
          <w:rPr>
            <w:rFonts w:ascii="宋体" w:eastAsia="宋体" w:hAnsi="宋体" w:cs="宋体" w:hint="eastAsia"/>
            <w:b/>
            <w:vanish/>
            <w:color w:val="000000"/>
            <w:kern w:val="0"/>
            <w:sz w:val="44"/>
            <w:szCs w:val="18"/>
          </w:rPr>
          <w:t>分享到人人</w:t>
        </w:r>
      </w:hyperlink>
      <w:r w:rsidRPr="000C776D">
        <w:rPr>
          <w:rFonts w:ascii="宋体" w:eastAsia="宋体" w:hAnsi="宋体" w:cs="宋体" w:hint="eastAsia"/>
          <w:b/>
          <w:vanish/>
          <w:kern w:val="0"/>
          <w:sz w:val="44"/>
          <w:szCs w:val="18"/>
        </w:rPr>
        <w:t xml:space="preserve"> </w:t>
      </w:r>
    </w:p>
    <w:p w:rsidR="000C776D" w:rsidRPr="000C776D" w:rsidRDefault="000C776D" w:rsidP="000C776D">
      <w:pPr>
        <w:widowControl/>
        <w:numPr>
          <w:ilvl w:val="0"/>
          <w:numId w:val="2"/>
        </w:numPr>
        <w:shd w:val="clear" w:color="auto" w:fill="FAFCFF"/>
        <w:spacing w:line="432" w:lineRule="auto"/>
        <w:ind w:left="0"/>
        <w:jc w:val="left"/>
        <w:rPr>
          <w:rFonts w:ascii="宋体" w:eastAsia="宋体" w:hAnsi="宋体" w:cs="宋体" w:hint="eastAsia"/>
          <w:b/>
          <w:vanish/>
          <w:kern w:val="0"/>
          <w:sz w:val="44"/>
          <w:szCs w:val="18"/>
        </w:rPr>
      </w:pPr>
      <w:hyperlink r:id="rId9" w:tooltip="分享到QQ空间" w:history="1">
        <w:r w:rsidRPr="000C776D">
          <w:rPr>
            <w:rFonts w:ascii="宋体" w:eastAsia="宋体" w:hAnsi="宋体" w:cs="宋体"/>
            <w:b/>
            <w:noProof/>
            <w:vanish/>
            <w:color w:val="000000"/>
            <w:kern w:val="0"/>
            <w:sz w:val="44"/>
            <w:szCs w:val="18"/>
          </w:rPr>
          <w:drawing>
            <wp:inline distT="0" distB="0" distL="0" distR="0" wp14:anchorId="564DD7B5" wp14:editId="03591F16">
              <wp:extent cx="152400" cy="152400"/>
              <wp:effectExtent l="0" t="0" r="0" b="0"/>
              <wp:docPr id="2" name="图片 2" descr="分享到QQ空间">
                <a:hlinkClick xmlns:a="http://schemas.openxmlformats.org/drawingml/2006/main" r:id="rId9" tooltip="分享到QQ空间"/>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分享到QQ空间">
                        <a:hlinkClick r:id="rId9" tooltip="分享到QQ空间"/>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776D">
          <w:rPr>
            <w:rFonts w:ascii="宋体" w:eastAsia="宋体" w:hAnsi="宋体" w:cs="宋体" w:hint="eastAsia"/>
            <w:b/>
            <w:vanish/>
            <w:color w:val="000000"/>
            <w:kern w:val="0"/>
            <w:sz w:val="44"/>
            <w:szCs w:val="18"/>
          </w:rPr>
          <w:t>分享到QQ空间</w:t>
        </w:r>
      </w:hyperlink>
      <w:r w:rsidRPr="000C776D">
        <w:rPr>
          <w:rFonts w:ascii="宋体" w:eastAsia="宋体" w:hAnsi="宋体" w:cs="宋体" w:hint="eastAsia"/>
          <w:b/>
          <w:vanish/>
          <w:kern w:val="0"/>
          <w:sz w:val="44"/>
          <w:szCs w:val="18"/>
        </w:rPr>
        <w:t xml:space="preserve"> </w:t>
      </w:r>
    </w:p>
    <w:p w:rsidR="00300292" w:rsidRDefault="000C776D" w:rsidP="000C776D">
      <w:pPr>
        <w:widowControl/>
        <w:shd w:val="clear" w:color="auto" w:fill="FAFCFF"/>
        <w:spacing w:line="432" w:lineRule="auto"/>
        <w:jc w:val="left"/>
        <w:rPr>
          <w:rFonts w:ascii="宋体" w:eastAsia="宋体" w:hAnsi="宋体" w:cs="宋体" w:hint="eastAsia"/>
          <w:b/>
          <w:kern w:val="0"/>
          <w:sz w:val="52"/>
          <w:szCs w:val="21"/>
        </w:rPr>
      </w:pPr>
      <w:r w:rsidRPr="000C776D">
        <w:rPr>
          <w:rFonts w:ascii="宋体" w:eastAsia="宋体" w:hAnsi="宋体" w:cs="宋体" w:hint="eastAsia"/>
          <w:b/>
          <w:kern w:val="0"/>
          <w:sz w:val="52"/>
          <w:szCs w:val="21"/>
        </w:rPr>
        <w:t xml:space="preserve">　　</w:t>
      </w:r>
    </w:p>
    <w:p w:rsidR="000C776D" w:rsidRPr="000C776D" w:rsidRDefault="000C776D" w:rsidP="00300292">
      <w:pPr>
        <w:widowControl/>
        <w:shd w:val="clear" w:color="auto" w:fill="FAFCFF"/>
        <w:spacing w:line="432" w:lineRule="auto"/>
        <w:ind w:firstLineChars="200" w:firstLine="1044"/>
        <w:jc w:val="left"/>
        <w:rPr>
          <w:rFonts w:ascii="宋体" w:eastAsia="宋体" w:hAnsi="宋体" w:cs="宋体" w:hint="eastAsia"/>
          <w:b/>
          <w:kern w:val="0"/>
          <w:sz w:val="52"/>
          <w:szCs w:val="21"/>
        </w:rPr>
      </w:pPr>
      <w:bookmarkStart w:id="0" w:name="_GoBack"/>
      <w:bookmarkEnd w:id="0"/>
      <w:r w:rsidRPr="000C776D">
        <w:rPr>
          <w:rFonts w:ascii="宋体" w:eastAsia="宋体" w:hAnsi="宋体" w:cs="宋体" w:hint="eastAsia"/>
          <w:b/>
          <w:kern w:val="0"/>
          <w:sz w:val="52"/>
          <w:szCs w:val="21"/>
        </w:rPr>
        <w:t>5月24日，率团访问</w:t>
      </w:r>
      <w:hyperlink r:id="rId11" w:tgtFrame="_blank" w:history="1">
        <w:r w:rsidRPr="000C776D">
          <w:rPr>
            <w:rFonts w:ascii="宋体" w:eastAsia="宋体" w:hAnsi="宋体" w:cs="宋体" w:hint="eastAsia"/>
            <w:b/>
            <w:color w:val="0000FF"/>
            <w:kern w:val="0"/>
            <w:sz w:val="52"/>
            <w:szCs w:val="21"/>
          </w:rPr>
          <w:t>四川</w:t>
        </w:r>
      </w:hyperlink>
      <w:r w:rsidRPr="000C776D">
        <w:rPr>
          <w:rFonts w:ascii="宋体" w:eastAsia="宋体" w:hAnsi="宋体" w:cs="宋体" w:hint="eastAsia"/>
          <w:b/>
          <w:kern w:val="0"/>
          <w:sz w:val="52"/>
          <w:szCs w:val="21"/>
        </w:rPr>
        <w:t>的</w:t>
      </w:r>
      <w:hyperlink r:id="rId12" w:tgtFrame="_blank" w:history="1">
        <w:r w:rsidRPr="000C776D">
          <w:rPr>
            <w:rFonts w:ascii="宋体" w:eastAsia="宋体" w:hAnsi="宋体" w:cs="宋体" w:hint="eastAsia"/>
            <w:b/>
            <w:color w:val="0000FF"/>
            <w:kern w:val="0"/>
            <w:sz w:val="52"/>
            <w:szCs w:val="21"/>
          </w:rPr>
          <w:t>香港</w:t>
        </w:r>
      </w:hyperlink>
      <w:r w:rsidRPr="000C776D">
        <w:rPr>
          <w:rFonts w:ascii="宋体" w:eastAsia="宋体" w:hAnsi="宋体" w:cs="宋体" w:hint="eastAsia"/>
          <w:b/>
          <w:kern w:val="0"/>
          <w:sz w:val="52"/>
          <w:szCs w:val="21"/>
        </w:rPr>
        <w:t>特区政府政务司司长林瑞麟向媒体回应援建绵阳紫荆民族中学被拆一事。他强调，港方将收回援建学校的200万港元，并将其回拨到特区政府设立的四川重建基金，四川方面表示尊重港方决定。</w:t>
      </w:r>
      <w:r w:rsidRPr="000C776D">
        <w:rPr>
          <w:rFonts w:ascii="宋体" w:eastAsia="宋体" w:hAnsi="宋体" w:cs="宋体" w:hint="eastAsia"/>
          <w:b/>
          <w:kern w:val="0"/>
          <w:sz w:val="52"/>
          <w:szCs w:val="21"/>
        </w:rPr>
        <w:br/>
      </w:r>
      <w:r w:rsidRPr="000C776D">
        <w:rPr>
          <w:rFonts w:ascii="宋体" w:eastAsia="宋体" w:hAnsi="宋体" w:cs="宋体" w:hint="eastAsia"/>
          <w:b/>
          <w:kern w:val="0"/>
          <w:sz w:val="52"/>
          <w:szCs w:val="21"/>
        </w:rPr>
        <w:br/>
        <w:t xml:space="preserve">　　有人说，捐出去的款物就像泼出去的水，这话从一个侧面刻画了我国捐赠人“捐赠后不管”的现象。在现实中，捐赠人因对捐赠款物的用途不满等原因而将其主动收回的概率极低，几近于零，很多</w:t>
      </w:r>
      <w:r w:rsidRPr="000C776D">
        <w:rPr>
          <w:rFonts w:ascii="宋体" w:eastAsia="宋体" w:hAnsi="宋体" w:cs="宋体" w:hint="eastAsia"/>
          <w:b/>
          <w:kern w:val="0"/>
          <w:sz w:val="52"/>
          <w:szCs w:val="21"/>
        </w:rPr>
        <w:lastRenderedPageBreak/>
        <w:t>人或许根本就没有产生过能收回捐赠款物的想法。现在，香港特区政府在一番较真后，收回捐款的意图即将实现，此举不但给慈善组织和受捐的单位或个人敲响了“捐赠款物不能乱花乱用不能糟蹋”的警钟，也给我们上了一堂生动的“慈善监督课”，进一步厘清了捐赠人的权利轮廓，厘清了捐赠人进行慈善监督的方向，启示我们——</w:t>
      </w:r>
      <w:proofErr w:type="gramStart"/>
      <w:r w:rsidRPr="000C776D">
        <w:rPr>
          <w:rFonts w:ascii="宋体" w:eastAsia="宋体" w:hAnsi="宋体" w:cs="宋体" w:hint="eastAsia"/>
          <w:b/>
          <w:kern w:val="0"/>
          <w:sz w:val="52"/>
          <w:szCs w:val="21"/>
        </w:rPr>
        <w:t>—</w:t>
      </w:r>
      <w:proofErr w:type="gramEnd"/>
      <w:r w:rsidRPr="000C776D">
        <w:rPr>
          <w:rFonts w:ascii="宋体" w:eastAsia="宋体" w:hAnsi="宋体" w:cs="宋体" w:hint="eastAsia"/>
          <w:b/>
          <w:kern w:val="0"/>
          <w:sz w:val="52"/>
          <w:szCs w:val="21"/>
        </w:rPr>
        <w:t>原来可以做这样的捐赠人，原来在捐赠之后还可以接着“管”。</w:t>
      </w:r>
      <w:r w:rsidRPr="000C776D">
        <w:rPr>
          <w:rFonts w:ascii="宋体" w:eastAsia="宋体" w:hAnsi="宋体" w:cs="宋体" w:hint="eastAsia"/>
          <w:b/>
          <w:kern w:val="0"/>
          <w:sz w:val="52"/>
          <w:szCs w:val="21"/>
        </w:rPr>
        <w:br/>
      </w:r>
      <w:r w:rsidRPr="000C776D">
        <w:rPr>
          <w:rFonts w:ascii="宋体" w:eastAsia="宋体" w:hAnsi="宋体" w:cs="宋体" w:hint="eastAsia"/>
          <w:b/>
          <w:kern w:val="0"/>
          <w:sz w:val="52"/>
          <w:szCs w:val="21"/>
        </w:rPr>
        <w:br/>
        <w:t xml:space="preserve">　　如果我们每一个捐赠人都能像香港特区政府一样有强烈的较真意识，始终对捐出的款物保持高度关注，一旦发现慈善组织或受捐单位、个人在管理使用捐赠款</w:t>
      </w:r>
      <w:r w:rsidRPr="000C776D">
        <w:rPr>
          <w:rFonts w:ascii="宋体" w:eastAsia="宋体" w:hAnsi="宋体" w:cs="宋体" w:hint="eastAsia"/>
          <w:b/>
          <w:kern w:val="0"/>
          <w:sz w:val="52"/>
          <w:szCs w:val="21"/>
        </w:rPr>
        <w:lastRenderedPageBreak/>
        <w:t>物过程中有任何不当或违法的迹象，即积极介入，提出异议，甚至收回捐赠款物，那么，慈善组织或受捐单位、个人便会感受到来自捐赠人的巨大压力，便会觉得有一双</w:t>
      </w:r>
      <w:r w:rsidRPr="000C776D">
        <w:rPr>
          <w:rFonts w:hint="eastAsia"/>
          <w:b/>
          <w:sz w:val="52"/>
          <w:szCs w:val="21"/>
        </w:rPr>
        <w:t>定向监督的眼睛在一直看着自己，便会给予捐赠人更多的尊重与敬畏，便会在管理使用捐赠款物时更加虔诚，更加用心，更加规矩。无疑，捐赠人合理到位的“捐后监督”能够对慈善事业的进步起到很强的倒逼作用。</w:t>
      </w:r>
      <w:r w:rsidRPr="000C776D">
        <w:rPr>
          <w:rFonts w:hint="eastAsia"/>
          <w:b/>
          <w:sz w:val="52"/>
          <w:szCs w:val="21"/>
        </w:rPr>
        <w:br/>
      </w:r>
      <w:r w:rsidRPr="000C776D">
        <w:rPr>
          <w:rFonts w:hint="eastAsia"/>
          <w:b/>
          <w:sz w:val="52"/>
          <w:szCs w:val="21"/>
        </w:rPr>
        <w:br/>
      </w:r>
      <w:r w:rsidRPr="000C776D">
        <w:rPr>
          <w:rFonts w:hint="eastAsia"/>
          <w:b/>
          <w:sz w:val="52"/>
          <w:szCs w:val="21"/>
        </w:rPr>
        <w:t xml:space="preserve">　　像香港特区政府一样执着地行使“捐后监督权”，行使“捐赠款物收回权”，不仅是对自己捐出的款物负责，也是对受捐者的权益负责，更是对慈善事业的健康发</w:t>
      </w:r>
      <w:r w:rsidRPr="000C776D">
        <w:rPr>
          <w:rFonts w:hint="eastAsia"/>
          <w:b/>
          <w:sz w:val="52"/>
          <w:szCs w:val="21"/>
        </w:rPr>
        <w:lastRenderedPageBreak/>
        <w:t>展负责。或许，我们在行使“捐后监督权”乃至收回捐赠款物时还要受到很多条件的制约，还会遇到很多障碍，我们在最初也不一定能够得到香港特区政府这样的捐赠人待遇，不一定能够得到足够的尊重和理解，但只要我们坚持“捐后监督”，只要合理行使“捐赠款物收回权”的捐赠人越来越多，“捐后监督”的影响力就会逐渐累积起来，当这种影响力达到一定的量，总能刺激慈善事业发生一些良性的质变。让我们开始全面认识“捐后监督权”，开始郑重行使“捐后监督权”吧！</w:t>
      </w:r>
      <w:r w:rsidRPr="000C776D">
        <w:rPr>
          <w:rFonts w:hint="eastAsia"/>
          <w:b/>
          <w:sz w:val="52"/>
          <w:szCs w:val="21"/>
        </w:rPr>
        <w:br/>
      </w:r>
      <w:r w:rsidRPr="000C776D">
        <w:rPr>
          <w:rFonts w:hint="eastAsia"/>
          <w:b/>
          <w:sz w:val="52"/>
          <w:szCs w:val="21"/>
        </w:rPr>
        <w:br/>
      </w:r>
      <w:r w:rsidRPr="000C776D">
        <w:rPr>
          <w:rFonts w:hint="eastAsia"/>
          <w:b/>
          <w:sz w:val="52"/>
          <w:szCs w:val="21"/>
        </w:rPr>
        <w:t xml:space="preserve">　　李英锋</w:t>
      </w:r>
    </w:p>
    <w:p w:rsidR="001045EF" w:rsidRPr="000C776D" w:rsidRDefault="001045EF">
      <w:pPr>
        <w:rPr>
          <w:b/>
          <w:sz w:val="72"/>
        </w:rPr>
      </w:pPr>
    </w:p>
    <w:sectPr w:rsidR="001045EF" w:rsidRPr="000C776D" w:rsidSect="00ED110E">
      <w:pgSz w:w="11906" w:h="16838"/>
      <w:pgMar w:top="1134" w:right="1361" w:bottom="1134"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1257E"/>
    <w:multiLevelType w:val="multilevel"/>
    <w:tmpl w:val="124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4B35CB"/>
    <w:multiLevelType w:val="multilevel"/>
    <w:tmpl w:val="BAC8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76D"/>
    <w:rsid w:val="000C776D"/>
    <w:rsid w:val="001045EF"/>
    <w:rsid w:val="00300292"/>
    <w:rsid w:val="00ED1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058525">
      <w:bodyDiv w:val="1"/>
      <w:marLeft w:val="0"/>
      <w:marRight w:val="0"/>
      <w:marTop w:val="0"/>
      <w:marBottom w:val="0"/>
      <w:divBdr>
        <w:top w:val="none" w:sz="0" w:space="0" w:color="auto"/>
        <w:left w:val="none" w:sz="0" w:space="0" w:color="auto"/>
        <w:bottom w:val="none" w:sz="0" w:space="0" w:color="auto"/>
        <w:right w:val="none" w:sz="0" w:space="0" w:color="auto"/>
      </w:divBdr>
      <w:divsChild>
        <w:div w:id="261106687">
          <w:marLeft w:val="0"/>
          <w:marRight w:val="0"/>
          <w:marTop w:val="150"/>
          <w:marBottom w:val="150"/>
          <w:divBdr>
            <w:top w:val="single" w:sz="6" w:space="0" w:color="C1C1C1"/>
            <w:left w:val="none" w:sz="0" w:space="0" w:color="auto"/>
            <w:bottom w:val="single" w:sz="6" w:space="11" w:color="C1C1C1"/>
            <w:right w:val="none" w:sz="0" w:space="0" w:color="auto"/>
          </w:divBdr>
          <w:divsChild>
            <w:div w:id="881745420">
              <w:marLeft w:val="0"/>
              <w:marRight w:val="0"/>
              <w:marTop w:val="0"/>
              <w:marBottom w:val="0"/>
              <w:divBdr>
                <w:top w:val="none" w:sz="0" w:space="0" w:color="auto"/>
                <w:left w:val="none" w:sz="0" w:space="0" w:color="auto"/>
                <w:bottom w:val="none" w:sz="0" w:space="0" w:color="auto"/>
                <w:right w:val="none" w:sz="0" w:space="0" w:color="auto"/>
              </w:divBdr>
              <w:divsChild>
                <w:div w:id="186648891">
                  <w:marLeft w:val="0"/>
                  <w:marRight w:val="0"/>
                  <w:marTop w:val="0"/>
                  <w:marBottom w:val="0"/>
                  <w:divBdr>
                    <w:top w:val="single" w:sz="6" w:space="0" w:color="C1C1C1"/>
                    <w:left w:val="single" w:sz="6" w:space="0" w:color="C1C1C1"/>
                    <w:bottom w:val="single" w:sz="6" w:space="0" w:color="C1C1C1"/>
                    <w:right w:val="single" w:sz="6" w:space="0" w:color="C1C1C1"/>
                  </w:divBdr>
                  <w:divsChild>
                    <w:div w:id="550920212">
                      <w:marLeft w:val="0"/>
                      <w:marRight w:val="0"/>
                      <w:marTop w:val="225"/>
                      <w:marBottom w:val="0"/>
                      <w:divBdr>
                        <w:top w:val="none" w:sz="0" w:space="0" w:color="auto"/>
                        <w:left w:val="none" w:sz="0" w:space="0" w:color="auto"/>
                        <w:bottom w:val="none" w:sz="0" w:space="0" w:color="auto"/>
                        <w:right w:val="none" w:sz="0" w:space="0" w:color="auto"/>
                      </w:divBdr>
                    </w:div>
                    <w:div w:id="670376966">
                      <w:marLeft w:val="0"/>
                      <w:marRight w:val="0"/>
                      <w:marTop w:val="0"/>
                      <w:marBottom w:val="0"/>
                      <w:divBdr>
                        <w:top w:val="none" w:sz="0" w:space="0" w:color="auto"/>
                        <w:left w:val="none" w:sz="0" w:space="0" w:color="auto"/>
                        <w:bottom w:val="none" w:sz="0" w:space="0" w:color="auto"/>
                        <w:right w:val="none" w:sz="0" w:space="0" w:color="auto"/>
                      </w:divBdr>
                    </w:div>
                    <w:div w:id="1586496826">
                      <w:marLeft w:val="0"/>
                      <w:marRight w:val="0"/>
                      <w:marTop w:val="150"/>
                      <w:marBottom w:val="150"/>
                      <w:divBdr>
                        <w:top w:val="none" w:sz="0" w:space="0" w:color="auto"/>
                        <w:left w:val="none" w:sz="0" w:space="0" w:color="auto"/>
                        <w:bottom w:val="none" w:sz="0" w:space="0" w:color="auto"/>
                        <w:right w:val="none" w:sz="0" w:space="0" w:color="auto"/>
                      </w:divBdr>
                      <w:divsChild>
                        <w:div w:id="21465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javascript:void((function(s,d,e)%7bif(/renren\.com/.test(d.location))return;var%20f='http://share.renren.com/share/buttonshare?link=',u=d.location,l=d.title,p=%5be(u),'&amp;title=',e(l)%5d.join('');function%20a()%7bif(!window.open(%5bf,p%5d.join(''),'xnshare',%5b'toolbar=0,status=0,resizable=1,width=626,height=436,left=',(s.width-626)/2,',top=',(s.height-436)/2%5d.join('')))u.href=%5bf,p%5d.join('');%7d;if(/Firefox/.test(navigator.userAgent))setTimeout(a,0);else%20a();%7d)(screen,document,encodeURIComponent));" TargetMode="External"/><Relationship Id="rId12" Type="http://schemas.openxmlformats.org/officeDocument/2006/relationships/hyperlink" Target="http://opinion.people.com.cn/GB/195259/195293/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cwb.com/ePaper/ycwb" TargetMode="External"/><Relationship Id="rId11" Type="http://schemas.openxmlformats.org/officeDocument/2006/relationships/hyperlink" Target="http://opinion.people.com.cn/GB/195259/195284/index.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2012-06-15T03:36:00Z</dcterms:created>
  <dcterms:modified xsi:type="dcterms:W3CDTF">2012-06-15T03:38:00Z</dcterms:modified>
</cp:coreProperties>
</file>