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名词作状语是</w:t>
      </w:r>
      <w:hyperlink r:id="rId5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词类活用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中最常见也是最复杂的一种</w:t>
      </w:r>
      <w:hyperlink r:id="rId6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语法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现象。一般而言，名词在现代汉语中放在</w:t>
      </w:r>
      <w:hyperlink r:id="rId7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动词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的前面，构成</w:t>
      </w:r>
      <w:hyperlink r:id="rId8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主谓短语</w:t>
        </w:r>
      </w:hyperlink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作主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语，或者是放在动词的后面构成</w:t>
      </w:r>
      <w:hyperlink r:id="rId9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动宾短语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，作动词</w:t>
      </w:r>
      <w:hyperlink r:id="rId10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谓语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</w:t>
      </w:r>
      <w:hyperlink r:id="rId11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宾语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，而</w:t>
      </w:r>
      <w:hyperlink r:id="rId12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状语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一般由形容词、</w:t>
      </w:r>
      <w:hyperlink r:id="rId13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副词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充当。但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在文言文某些特殊的语言环境中，</w:t>
      </w:r>
      <w:r w:rsidRPr="00FE6B71">
        <w:rPr>
          <w:rFonts w:ascii="Arial" w:eastAsia="宋体" w:hAnsi="Arial" w:cs="Arial"/>
          <w:b/>
          <w:bCs/>
          <w:color w:val="FF0000"/>
          <w:kern w:val="0"/>
          <w:sz w:val="24"/>
          <w:szCs w:val="21"/>
          <w:u w:val="single"/>
        </w:rPr>
        <w:t>名词放在动词的前面，它不是动作行为的施事者，而是对动作行为起着直接的修辞限制作用，从而担负起形容词、副词的语法功能，充当了动词谓语的状语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名词作状语有的很富有修辞色彩，了解这种语法现象有助于更好地理解古文的句意。</w:t>
      </w:r>
    </w:p>
    <w:p w:rsidR="00FE6B71" w:rsidRPr="00FE6B71" w:rsidRDefault="00FE6B71" w:rsidP="00FE6B71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0"/>
          <w:szCs w:val="33"/>
        </w:rPr>
      </w:pPr>
      <w:bookmarkStart w:id="0" w:name="6471024-6684719-2"/>
      <w:bookmarkEnd w:id="0"/>
      <w:r w:rsidRPr="00FE6B71">
        <w:rPr>
          <w:rFonts w:ascii="microsoft yahei" w:eastAsia="宋体" w:hAnsi="microsoft yahei" w:cs="宋体"/>
          <w:color w:val="000000"/>
          <w:kern w:val="0"/>
          <w:sz w:val="40"/>
          <w:szCs w:val="33"/>
        </w:rPr>
        <w:t>名词作状语的类型</w:t>
      </w:r>
    </w:p>
    <w:bookmarkStart w:id="1" w:name="6471024-6684719-2_1"/>
    <w:bookmarkEnd w:id="1"/>
    <w:p w:rsidR="00FE6B71" w:rsidRPr="00FE6B71" w:rsidRDefault="00FE6B71" w:rsidP="00FE6B71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4"/>
          <w:szCs w:val="21"/>
        </w:rPr>
      </w:pP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begin"/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instrText xml:space="preserve"> HYPERLINK "http://baike.haosou.com/doc/6471024-6684719.html" </w:instrTex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separate"/>
      </w:r>
      <w:r w:rsidRPr="00FE6B71">
        <w:rPr>
          <w:rFonts w:ascii="microsoft yahei" w:eastAsia="宋体" w:hAnsi="microsoft yahei" w:cs="Arial"/>
          <w:color w:val="0000FF"/>
          <w:kern w:val="0"/>
          <w:sz w:val="6"/>
          <w:szCs w:val="2"/>
          <w:u w:val="single"/>
        </w:rPr>
        <w:t>折叠</w: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end"/>
      </w:r>
      <w:r w:rsidRPr="00FE6B71">
        <w:rPr>
          <w:rFonts w:ascii="microsoft yahei" w:eastAsia="宋体" w:hAnsi="microsoft yahei" w:cs="Arial"/>
          <w:color w:val="333333"/>
          <w:kern w:val="0"/>
          <w:sz w:val="32"/>
          <w:szCs w:val="27"/>
        </w:rPr>
        <w:t>第一类，表比喻。</w:t>
      </w:r>
    </w:p>
    <w:p w:rsidR="00FE6B71" w:rsidRPr="00FE6B71" w:rsidRDefault="00FE6B71" w:rsidP="00FE6B7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一般由具有具体形态、形状的名词充当，抽象名词不具备该语法功能，它表示动作行为的特征或状态，译为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象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(1)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其一犬坐于前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。《狼》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象狗一样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(2)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潭西南而望，斗折蛇行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14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小石潭记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斗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蛇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象北斗一样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象蛇一样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。特别需要指出的是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,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许多文言文的初学者很容易把这种名词作状语的情形误认为是名词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作主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语，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把例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(1)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译成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其中的一只狗坐在前面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（本义是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其中的一只狼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象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狗一样地坐在前边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），那就大错特错了。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现在汉语中仍然保留着这种名词作状语类型的成语，如</w:t>
      </w:r>
      <w:hyperlink r:id="rId15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星罗棋布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16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龙腾虎跃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17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鲸吞蚕食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18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风起云涌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等。</w:t>
      </w:r>
    </w:p>
    <w:bookmarkStart w:id="2" w:name="6471024-6684719-2_2"/>
    <w:bookmarkEnd w:id="2"/>
    <w:p w:rsidR="00FE6B71" w:rsidRPr="00FE6B71" w:rsidRDefault="00FE6B71" w:rsidP="00FE6B71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4"/>
          <w:szCs w:val="21"/>
        </w:rPr>
      </w:pP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begin"/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instrText xml:space="preserve"> HYPERLINK "http://baike.haosou.com/doc/6471024-6684719.html" </w:instrTex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separate"/>
      </w:r>
      <w:r w:rsidRPr="00FE6B71">
        <w:rPr>
          <w:rFonts w:ascii="microsoft yahei" w:eastAsia="宋体" w:hAnsi="microsoft yahei" w:cs="Arial"/>
          <w:color w:val="0000FF"/>
          <w:kern w:val="0"/>
          <w:sz w:val="6"/>
          <w:szCs w:val="2"/>
          <w:u w:val="single"/>
        </w:rPr>
        <w:t>折叠</w: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end"/>
      </w:r>
      <w:r w:rsidRPr="00FE6B71">
        <w:rPr>
          <w:rFonts w:ascii="microsoft yahei" w:eastAsia="宋体" w:hAnsi="microsoft yahei" w:cs="Arial"/>
          <w:color w:val="333333"/>
          <w:kern w:val="0"/>
          <w:sz w:val="32"/>
          <w:szCs w:val="27"/>
        </w:rPr>
        <w:t>第二类，表示动作行为的处所。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一般由方位名词和表示具体地点、场所的名词充当，译为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在（从）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(3)“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东市买骏马，西市买鞍鞯，南市买辔头，北市买长鞭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19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木兰诗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西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南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北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分别译为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在东边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在西边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在南边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在北边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(4)“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卒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廷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见相如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20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廉颇蔺相如列传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在朝廷上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(5)“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变姓名，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诡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踪迹，草行露宿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。《指南录后序》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草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露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在杂草间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在露天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现代汉语中还保留这种语法特点的成语如：</w:t>
      </w:r>
      <w:hyperlink r:id="rId21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道听途说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22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风餐露宿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23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里应外合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等。</w:t>
      </w:r>
    </w:p>
    <w:bookmarkStart w:id="3" w:name="6471024-6684719-2_3"/>
    <w:bookmarkEnd w:id="3"/>
    <w:p w:rsidR="00FE6B71" w:rsidRPr="00FE6B71" w:rsidRDefault="00FE6B71" w:rsidP="00FE6B71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4"/>
          <w:szCs w:val="21"/>
        </w:rPr>
      </w:pP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begin"/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instrText xml:space="preserve"> HYPERLINK "http://baike.haosou.com/doc/6471024-6684719.html" </w:instrTex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separate"/>
      </w:r>
      <w:r w:rsidRPr="00FE6B71">
        <w:rPr>
          <w:rFonts w:ascii="microsoft yahei" w:eastAsia="宋体" w:hAnsi="microsoft yahei" w:cs="Arial"/>
          <w:color w:val="0000FF"/>
          <w:kern w:val="0"/>
          <w:sz w:val="6"/>
          <w:szCs w:val="2"/>
          <w:u w:val="single"/>
        </w:rPr>
        <w:t>折叠</w: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end"/>
      </w:r>
      <w:r w:rsidRPr="00FE6B71">
        <w:rPr>
          <w:rFonts w:ascii="microsoft yahei" w:eastAsia="宋体" w:hAnsi="microsoft yahei" w:cs="Arial"/>
          <w:color w:val="333333"/>
          <w:kern w:val="0"/>
          <w:sz w:val="32"/>
          <w:szCs w:val="27"/>
        </w:rPr>
        <w:t>第三类，表示动作行为的趋向。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由方位名词如东、南、西、北、上、下、左、右、前、后等充当，译为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向（朝、往）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(6)“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从小丘西行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百二十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。《小石潭记》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西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向西，往西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(7)“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日光下彻，影布石上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。《小石潭记》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向下，朝下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(8)“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复前行，欲穷其林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24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桃花源记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往前，朝前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。现代汉语中的成语如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东倒西歪、东拉西扯、上窜下跳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等都是这种语法类型的遗留。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第四类，表示动作行为凭借的工具或使用的材料。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这类名词一般由具有某种功用的事物名称或材料名称的名词充当；译为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乘坐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(9)“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叩石垦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壤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，箕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畚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运于渤海之尾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。《愚公移山》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箕畚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用箕畚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(10)“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黔无驴，有好事者船载以入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25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黔之驴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用船，乘船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⑾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市中游侠儿得佳者笼养之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。《促织》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笼养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用笼子饲养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⑿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左刻清风徐来，水波不兴，石青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糁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26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核舟记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石青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用石青这种材料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此外现代汉语中的成语如</w:t>
      </w:r>
      <w:hyperlink r:id="rId27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车载斗量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28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口诛笔伐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29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耳闻目睹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等也都是该类型名词作状语的情形。</w:t>
      </w:r>
    </w:p>
    <w:bookmarkStart w:id="4" w:name="6471024-6684719-2_4"/>
    <w:bookmarkEnd w:id="4"/>
    <w:p w:rsidR="00FE6B71" w:rsidRPr="00FE6B71" w:rsidRDefault="00FE6B71" w:rsidP="00FE6B71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4"/>
          <w:szCs w:val="21"/>
        </w:rPr>
      </w:pP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begin"/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instrText xml:space="preserve"> HYPERLINK "http://baike.haosou.com/doc/6471024-6684719.html" </w:instrTex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separate"/>
      </w:r>
      <w:r w:rsidRPr="00FE6B71">
        <w:rPr>
          <w:rFonts w:ascii="microsoft yahei" w:eastAsia="宋体" w:hAnsi="microsoft yahei" w:cs="Arial"/>
          <w:color w:val="0000FF"/>
          <w:kern w:val="0"/>
          <w:sz w:val="6"/>
          <w:szCs w:val="2"/>
          <w:u w:val="single"/>
        </w:rPr>
        <w:t>折叠</w: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end"/>
      </w:r>
      <w:r w:rsidRPr="00FE6B71">
        <w:rPr>
          <w:rFonts w:ascii="microsoft yahei" w:eastAsia="宋体" w:hAnsi="microsoft yahei" w:cs="Arial"/>
          <w:color w:val="333333"/>
          <w:kern w:val="0"/>
          <w:sz w:val="32"/>
          <w:szCs w:val="27"/>
        </w:rPr>
        <w:t>第五类，表示对人的礼节或待遇。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这类作状语的名词一般是表示人物身份、称谓、礼仪等方面的名词，译为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像对待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当作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君为我呼入，吾得兄事之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。《鸿门宴》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像对待兄长一样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倡优蓄之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30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报任安书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倡优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当作倡优一样的人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⒃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今而后知君之犬马畜</w:t>
      </w:r>
      <w:proofErr w:type="gramStart"/>
      <w:r w:rsidR="00B94C23">
        <w:rPr>
          <w:rFonts w:ascii="Arial" w:hAnsi="Arial" w:cs="Arial"/>
          <w:color w:val="333333"/>
          <w:szCs w:val="21"/>
          <w:shd w:val="clear" w:color="auto" w:fill="FFFFFF"/>
        </w:rPr>
        <w:t>伋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《孟子》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犬马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当作犬马一样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东向坐，西向对，师事之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。《韩信破赵之战》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师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像对待老师一样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bookmarkStart w:id="5" w:name="6471024-6684719-2_5"/>
    <w:bookmarkEnd w:id="5"/>
    <w:p w:rsidR="00FE6B71" w:rsidRPr="00FE6B71" w:rsidRDefault="00FE6B71" w:rsidP="00FE6B71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4"/>
          <w:szCs w:val="21"/>
        </w:rPr>
      </w:pP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begin"/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instrText xml:space="preserve"> HYPERLINK "http://baike.haosou.com/doc/6471024-6684719.html" </w:instrTex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separate"/>
      </w:r>
      <w:r w:rsidRPr="00FE6B71">
        <w:rPr>
          <w:rFonts w:ascii="microsoft yahei" w:eastAsia="宋体" w:hAnsi="microsoft yahei" w:cs="Arial"/>
          <w:color w:val="0000FF"/>
          <w:kern w:val="0"/>
          <w:sz w:val="6"/>
          <w:szCs w:val="2"/>
          <w:u w:val="single"/>
        </w:rPr>
        <w:t>折叠</w: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end"/>
      </w:r>
      <w:r w:rsidRPr="00FE6B71">
        <w:rPr>
          <w:rFonts w:ascii="microsoft yahei" w:eastAsia="宋体" w:hAnsi="microsoft yahei" w:cs="Arial"/>
          <w:color w:val="333333"/>
          <w:kern w:val="0"/>
          <w:sz w:val="32"/>
          <w:szCs w:val="27"/>
        </w:rPr>
        <w:t>第六类，表示动作行为发生的频率。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这类名词一般由不确指的时间名词如日、月、年、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岁等充当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，翻译时可在时间名词前加上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每一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每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，或者时间名词本身的重叠即可。如例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⒅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日扳仲永环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谒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于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邑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。《伤仲永》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每天，天天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⒆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太医以王命聚之，岁赋其二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31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捕蛇者说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岁赋其二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每年征收两次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⒇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日削月割，以趋于亡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32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六国论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月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可译为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每年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每月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现代汉语中依然保留着这样的语法类型如成语</w:t>
      </w:r>
      <w:hyperlink r:id="rId33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日新月异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34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日积月累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等。</w:t>
      </w:r>
    </w:p>
    <w:bookmarkStart w:id="6" w:name="6471024-6684719-2_6"/>
    <w:bookmarkEnd w:id="6"/>
    <w:p w:rsidR="00FE6B71" w:rsidRPr="00FE6B71" w:rsidRDefault="00FE6B71" w:rsidP="00FE6B71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4"/>
          <w:szCs w:val="21"/>
        </w:rPr>
      </w:pP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begin"/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instrText xml:space="preserve"> HYPERLINK "http://baike.haosou.com/doc/6471024-6684719.html" </w:instrTex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separate"/>
      </w:r>
      <w:r w:rsidRPr="00FE6B71">
        <w:rPr>
          <w:rFonts w:ascii="microsoft yahei" w:eastAsia="宋体" w:hAnsi="microsoft yahei" w:cs="Arial"/>
          <w:color w:val="0000FF"/>
          <w:kern w:val="0"/>
          <w:sz w:val="6"/>
          <w:szCs w:val="2"/>
          <w:u w:val="single"/>
        </w:rPr>
        <w:t>折叠</w:t>
      </w:r>
      <w:r w:rsidRPr="00FE6B71">
        <w:rPr>
          <w:rFonts w:ascii="microsoft yahei" w:eastAsia="宋体" w:hAnsi="microsoft yahei" w:cs="Arial" w:hint="eastAsia"/>
          <w:color w:val="333333"/>
          <w:kern w:val="0"/>
          <w:sz w:val="24"/>
          <w:szCs w:val="21"/>
        </w:rPr>
        <w:fldChar w:fldCharType="end"/>
      </w:r>
      <w:r w:rsidRPr="00FE6B71">
        <w:rPr>
          <w:rFonts w:ascii="microsoft yahei" w:eastAsia="宋体" w:hAnsi="microsoft yahei" w:cs="Arial"/>
          <w:color w:val="333333"/>
          <w:kern w:val="0"/>
          <w:sz w:val="32"/>
          <w:szCs w:val="27"/>
        </w:rPr>
        <w:t>第七类，表示动作行为发生的时间。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这类名词一般是指一年中某个具体的季节、月份或一天中某个具体的时段，如春、夏、秋、冬、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旦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、夕、朝、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暮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等时间名词，可译为在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(21)“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旦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辞爷娘去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,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暮宿黄河边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。《木兰诗》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暮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分别译为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在黎明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在傍晚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(22)“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朝而往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,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暮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而归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。《</w:t>
      </w:r>
      <w:hyperlink r:id="rId35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醉翁亭记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暮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在早上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在晚上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；例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(23)“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朝闻道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,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  <w:u w:val="single"/>
        </w:rPr>
        <w:t>夕死可矣</w:t>
      </w:r>
      <w:hyperlink r:id="rId36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《论语》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在早上听说了道理，在晚上死去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，意思是说只要在早上听说并懂得了道理、真理，那怕是在晚上死去也心满意足了。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现代汉语中的成语如</w:t>
      </w:r>
      <w:hyperlink r:id="rId37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春华秋实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38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朝思暮想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39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朝令夕改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等都是时间名词作状语的活用情形。</w:t>
      </w:r>
    </w:p>
    <w:p w:rsidR="00FE6B71" w:rsidRPr="00FE6B71" w:rsidRDefault="00FE6B71" w:rsidP="00FE6B71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0"/>
          <w:szCs w:val="33"/>
        </w:rPr>
      </w:pPr>
      <w:bookmarkStart w:id="7" w:name="6471024-6684719-3"/>
      <w:bookmarkEnd w:id="7"/>
      <w:r w:rsidRPr="00FE6B71">
        <w:rPr>
          <w:rFonts w:ascii="microsoft yahei" w:eastAsia="宋体" w:hAnsi="microsoft yahei" w:cs="宋体"/>
          <w:color w:val="000000"/>
          <w:kern w:val="0"/>
          <w:sz w:val="40"/>
          <w:szCs w:val="33"/>
        </w:rPr>
        <w:t>普通名词作状语与主谓结构的辨析方法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现代汉语中，普通名词（时间名词除外）一般不能直接作状语，而在古汉语中，普通名词作状语却很普遍，普通名词作状语时，存在着与主谓结构划界的问题。普通名词作状语，位置在谓词的前面，其结构形式和名词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作主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语完全相同，两者如不仔细区分，就会产生误解。如：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狐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鸣呼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曰：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‘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大楚兴，陈胜王。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’”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倘若把此例中的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狐鸣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当成主谓结构，意思就是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狐狸叫喊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，这样，就歪曲了原来的意思。下面说明辨析名词作状语与主谓结构的几条辨析方法：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gramStart"/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一</w:t>
      </w:r>
      <w:proofErr w:type="gramEnd"/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．要看谓词与其前面的名词的意义关系。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名词和谓词如果是陈述和被陈述的关系，就是主谓结构；若是修饰、限制与被修饰、限制的关系，就是名词作状语。如：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吾之后，汝兄弟父事丞相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父事丞相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，如果是陈述和被陈述的关系，意思就是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父亲侍奉丞相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，这显然与原来的句意不同。应该理解为修饰与被修饰的关系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——“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像对待父亲一样地侍奉丞相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。所以，这里的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父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就是名词作状语，而不是主谓结构中的主语。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二．要看能否在名词前加介词或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像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......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一样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组成介词结构或比</w:t>
      </w:r>
      <w:proofErr w:type="gramStart"/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况</w:t>
      </w:r>
      <w:proofErr w:type="gramEnd"/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结构。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因为，无论是在现代汉语还是在</w:t>
      </w:r>
      <w:hyperlink r:id="rId40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古代汉语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中，介词结构都不能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作主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语，这是无可置疑的。下面，就以古汉语中普通名词作状语的功能类别作简要说明。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1.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表</w:t>
      </w:r>
      <w:hyperlink r:id="rId41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比喻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项伯乃拔剑起舞，常以身翼蔽沛公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翼蔽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就可说成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像翅膀一样掩护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2.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表</w:t>
      </w:r>
      <w:hyperlink r:id="rId42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态度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齐将田忌善而客待之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客待之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可译为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像对待客人一样对待他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3.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表</w:t>
      </w:r>
      <w:hyperlink r:id="rId43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工具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hyperlink r:id="rId44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方式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黔无驴，有好事者船载以入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，其中的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船载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可理解为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以船载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，但不能认为名词前省略了介词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。因为，古汉语中名词作状语一般不加介词，这是一种与现代汉语不同的词法规律。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4.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表依据。如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失期，法当斩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，其中的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法当斩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可译为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依照法律判斩首之罪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FF0000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5.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表处所。如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夫以秦王之威，而相如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廷叱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，其中的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廷叱之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可译为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在朝堂上呵斥他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，但也不能以此认为名词前省略了介词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于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。因为，古汉语中表示处</w:t>
      </w:r>
      <w:bookmarkStart w:id="8" w:name="_GoBack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所的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介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宾词组大多放在动词之后作补语。如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战于长勺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盘庚迁于殷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bookmarkEnd w:id="8"/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6.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表</w:t>
      </w:r>
      <w:hyperlink r:id="rId45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方位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南取汉中，西举巴蜀，东割膏腴之地，北收要害之郡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中的方位名词前也可加介词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于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南取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可理解为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向南取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由此可见，凡名词作状语的句子，一般都可在名词前加上介词或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像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......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组成介词结构或比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况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结构，这是名词作状语与主谓结构的根本不同之处。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三．要看句子前面是否另有主语。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凡表示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有生命事物的名词用在谓词前，则有两种情况，即该名词或者是主语或者是状语。这就需要找句子前面是否另有主语。就一般情况而言，名词作状语的句子，往往在这个名词前面或上句中还另有主语。如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吾得兄事之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，既然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吾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作全句的主语，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就不可能再是主语（一个句子中不可能有两个主语），而只能是状语了；而有时主语承前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或蒙后省略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了，这就需要往上下句中找主语。如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常以身翼蔽沛公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，本句中并没主语，就需往上句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项伯亦拔剑起舞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中去找，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项伯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便是主语。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四．要按情理推断。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凡按上述三种辨析标准仍难判定谓词前的名词是主语或状语者，则需按情理推断。例如，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其一犬坐于前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，倘若不结合上下文，就很难确定名词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是不是主语。根据上下文的意思，按情理推，即可知原句是说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其中一只（狼）像狗一样蹲在（屠户的）前面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。</w:t>
      </w:r>
    </w:p>
    <w:p w:rsidR="00FE6B71" w:rsidRPr="00FE6B71" w:rsidRDefault="00FE6B71" w:rsidP="00FE6B71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0"/>
          <w:szCs w:val="33"/>
        </w:rPr>
      </w:pPr>
      <w:bookmarkStart w:id="9" w:name="6471024-6684719-4"/>
      <w:bookmarkEnd w:id="9"/>
      <w:r w:rsidRPr="00FE6B71">
        <w:rPr>
          <w:rFonts w:ascii="microsoft yahei" w:eastAsia="宋体" w:hAnsi="microsoft yahei" w:cs="宋体"/>
          <w:color w:val="000000"/>
          <w:kern w:val="0"/>
          <w:sz w:val="40"/>
          <w:szCs w:val="33"/>
        </w:rPr>
        <w:t>示例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朝济而夕设版焉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夕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，分别充当动词谓语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济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设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的状语，表时间：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在早上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到黄昏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）《</w:t>
      </w:r>
      <w:hyperlink r:id="rId46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烛之武退秦师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既东封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郑（方位名词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的状语，表处所：在东边）《烛之武退秦师》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3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、日食饮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得无衰乎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（时间名词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食饮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以及省略的谓语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的状语，表示动作的经常性：每天）《</w:t>
      </w:r>
      <w:hyperlink r:id="rId47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触龙说赵太后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4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、君子博学而日参省乎己（时间名词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放在动词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参省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的前面作状语，表示动作的经常性：每天）《</w:t>
      </w:r>
      <w:hyperlink r:id="rId48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劝学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5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、上食埃土，下饮黄泉（方位名词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用在动词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食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饮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的前面作状语，表示动作行为的方向：向上、向下，指在地面上，在地下）《劝学》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6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、秋水时至（名词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时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至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的状语：随季节，按季节）《</w:t>
      </w:r>
      <w:hyperlink r:id="rId49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秋水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7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、顺流而东行（方位名词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的状语：朝东，向东）《秋水》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8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、有席卷天下，包举宇内，囊括四海之意（名词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席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包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囊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分别作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卷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举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的状语，表示动作行为的状态；像席子那样，像包裹那样，像口袋那样）《过秦论》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9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、天下云集响应（名词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云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分别作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集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应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的状语，表示动作行为的状态：像云那样，像回声那样）《</w:t>
      </w:r>
      <w:hyperlink r:id="rId50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过秦论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10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、赢粮而景从（名词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景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从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的状语，表示动作行为的状态：像影子那样）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11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、内立法度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外连衡而斗诸侯（方位名词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内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外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分别作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连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的状语，表示行为动作的方向：对内，对外）《过秦论》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12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、项伯乃夜驰之沛公军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于是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项伯复夜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去（名词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充当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驰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的状语，表示动作行为的时间：当夜，当晚）《</w:t>
      </w:r>
      <w:hyperlink r:id="rId51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鸿门宴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13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、日夜望将军至（时间名词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充当动词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望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的状语，表示动作的经常性：每日、每夜）《鸿门宴》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14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、吾得兄事之（名词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兄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的状语，表示对待人的态度：像对待兄长那样）《鸿门宴》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15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、道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芷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阳间行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间至军中（名词作状语。名词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间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充当动词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的状语，表示动作行为的处所：从小路）《鸿门宴》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16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园日涉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以成趣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时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矫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首而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遐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观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(“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时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涉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矫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的状语，表示动作行为的经常性：天天；每天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) 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《</w:t>
      </w:r>
      <w:hyperlink r:id="rId52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归去来兮辞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17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雄州雾列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俊采星驰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雾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星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用作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列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驰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的状语：像雾一样涌起，像星一样飞驰）《</w:t>
      </w:r>
      <w:hyperlink r:id="rId53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滕王阁序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lastRenderedPageBreak/>
        <w:t>18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、下临无地（方位名词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下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，作动词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临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的状语，表示动作行为的方向：向下，往下）《滕王阁序》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19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、士大夫之族，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……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则群聚而笑之（名词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群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聚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的状语，表示动作的情态：成群）《师说》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20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辇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来于秦（名词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辇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作状语，表示动作行为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来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所用的工具：用车子，乘车）《阿房宫赋》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21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、一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夫夜呼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呼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的状语，表示时间：在夜间）《伶官传序》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22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、负而前驱（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方们名词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驱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的状语，表示动作行为的处所：在前面）《</w:t>
      </w:r>
      <w:hyperlink r:id="rId54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伶官传序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23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仓皇东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出（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方们名词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出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的状语，表动作行为的趋向：向东）《伶官传序》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24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、余自齐安舟行适临汝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事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不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目见耳闻（名词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舟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目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耳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分别作动词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见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闻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的状语，表示动作行为所用的工具：用船，用眼睛，用耳朵）《</w:t>
      </w:r>
      <w:hyperlink r:id="rId55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石钟山记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25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、内外多置小门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使不上漏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雨泽下注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东犬西吠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/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前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辟四窗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（方位名词作状语）《</w:t>
      </w:r>
      <w:hyperlink r:id="rId56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项脊轩志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26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、人皆得以</w:t>
      </w:r>
      <w:proofErr w:type="gramStart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隶</w:t>
      </w:r>
      <w:proofErr w:type="gramEnd"/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使之（名词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隶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作动词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使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的状语：当作奴隶一样）《</w:t>
      </w:r>
      <w:hyperlink r:id="rId57" w:tgtFrame="_blank" w:history="1">
        <w:r w:rsidRPr="00FE6B71">
          <w:rPr>
            <w:rFonts w:ascii="Arial" w:eastAsia="宋体" w:hAnsi="Arial" w:cs="Arial"/>
            <w:color w:val="136EC2"/>
            <w:kern w:val="0"/>
            <w:sz w:val="24"/>
            <w:szCs w:val="21"/>
            <w:u w:val="single"/>
          </w:rPr>
          <w:t>五人墓碑记</w:t>
        </w:r>
      </w:hyperlink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27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、去今之墓而葬焉（连词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一般只连接两个动词或动宾词组，名词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墓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由连词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而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与动词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“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葬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”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连接，用作动词，修墓）《五人墓碑记》</w:t>
      </w:r>
    </w:p>
    <w:p w:rsidR="00FE6B71" w:rsidRPr="00FE6B71" w:rsidRDefault="00FE6B71" w:rsidP="00FE6B7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28</w:t>
      </w:r>
      <w:r w:rsidRPr="00FE6B71">
        <w:rPr>
          <w:rFonts w:ascii="Arial" w:eastAsia="宋体" w:hAnsi="Arial" w:cs="Arial"/>
          <w:color w:val="333333"/>
          <w:kern w:val="0"/>
          <w:sz w:val="24"/>
          <w:szCs w:val="21"/>
        </w:rPr>
        <w:t>、其疾病而死（同上）</w:t>
      </w:r>
    </w:p>
    <w:p w:rsidR="002D377F" w:rsidRPr="00B94C23" w:rsidRDefault="002D377F">
      <w:pPr>
        <w:rPr>
          <w:sz w:val="24"/>
        </w:rPr>
      </w:pPr>
    </w:p>
    <w:sectPr w:rsidR="002D377F" w:rsidRPr="00B9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1"/>
    <w:rsid w:val="002D377F"/>
    <w:rsid w:val="006D302E"/>
    <w:rsid w:val="00B94C23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haosou.com/doc/873963.html" TargetMode="External"/><Relationship Id="rId18" Type="http://schemas.openxmlformats.org/officeDocument/2006/relationships/hyperlink" Target="http://baike.haosou.com/doc/3529995.html" TargetMode="External"/><Relationship Id="rId26" Type="http://schemas.openxmlformats.org/officeDocument/2006/relationships/hyperlink" Target="http://baike.haosou.com/doc/1577360.html" TargetMode="External"/><Relationship Id="rId39" Type="http://schemas.openxmlformats.org/officeDocument/2006/relationships/hyperlink" Target="http://baike.haosou.com/doc/4695960.html" TargetMode="External"/><Relationship Id="rId21" Type="http://schemas.openxmlformats.org/officeDocument/2006/relationships/hyperlink" Target="http://baike.haosou.com/doc/3501738.html" TargetMode="External"/><Relationship Id="rId34" Type="http://schemas.openxmlformats.org/officeDocument/2006/relationships/hyperlink" Target="http://baike.haosou.com/doc/251264.html" TargetMode="External"/><Relationship Id="rId42" Type="http://schemas.openxmlformats.org/officeDocument/2006/relationships/hyperlink" Target="http://baike.haosou.com/doc/396844.html" TargetMode="External"/><Relationship Id="rId47" Type="http://schemas.openxmlformats.org/officeDocument/2006/relationships/hyperlink" Target="http://baike.haosou.com/doc/5417714.html" TargetMode="External"/><Relationship Id="rId50" Type="http://schemas.openxmlformats.org/officeDocument/2006/relationships/hyperlink" Target="http://baike.haosou.com/doc/1201391.html" TargetMode="External"/><Relationship Id="rId55" Type="http://schemas.openxmlformats.org/officeDocument/2006/relationships/hyperlink" Target="http://baike.haosou.com/doc/364031.html" TargetMode="External"/><Relationship Id="rId7" Type="http://schemas.openxmlformats.org/officeDocument/2006/relationships/hyperlink" Target="http://baike.haosou.com/doc/2563740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haosou.com/doc/3753655.html" TargetMode="External"/><Relationship Id="rId29" Type="http://schemas.openxmlformats.org/officeDocument/2006/relationships/hyperlink" Target="http://baike.haosou.com/doc/806246.html" TargetMode="External"/><Relationship Id="rId11" Type="http://schemas.openxmlformats.org/officeDocument/2006/relationships/hyperlink" Target="http://baike.haosou.com/doc/708098.html" TargetMode="External"/><Relationship Id="rId24" Type="http://schemas.openxmlformats.org/officeDocument/2006/relationships/hyperlink" Target="http://baike.haosou.com/doc/4933700.html" TargetMode="External"/><Relationship Id="rId32" Type="http://schemas.openxmlformats.org/officeDocument/2006/relationships/hyperlink" Target="http://baike.haosou.com/doc/5379918.html" TargetMode="External"/><Relationship Id="rId37" Type="http://schemas.openxmlformats.org/officeDocument/2006/relationships/hyperlink" Target="http://baike.haosou.com/doc/1190569.html" TargetMode="External"/><Relationship Id="rId40" Type="http://schemas.openxmlformats.org/officeDocument/2006/relationships/hyperlink" Target="http://baike.haosou.com/doc/6672292.html" TargetMode="External"/><Relationship Id="rId45" Type="http://schemas.openxmlformats.org/officeDocument/2006/relationships/hyperlink" Target="http://baike.haosou.com/doc/3921969.html" TargetMode="External"/><Relationship Id="rId53" Type="http://schemas.openxmlformats.org/officeDocument/2006/relationships/hyperlink" Target="http://baike.haosou.com/doc/5350148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baike.haosou.com/doc/5931391.html" TargetMode="External"/><Relationship Id="rId19" Type="http://schemas.openxmlformats.org/officeDocument/2006/relationships/hyperlink" Target="http://baike.haosou.com/doc/25210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haosou.com/doc/5441433.html" TargetMode="External"/><Relationship Id="rId14" Type="http://schemas.openxmlformats.org/officeDocument/2006/relationships/hyperlink" Target="http://baike.haosou.com/doc/5350041.html" TargetMode="External"/><Relationship Id="rId22" Type="http://schemas.openxmlformats.org/officeDocument/2006/relationships/hyperlink" Target="http://baike.haosou.com/doc/826920.html" TargetMode="External"/><Relationship Id="rId27" Type="http://schemas.openxmlformats.org/officeDocument/2006/relationships/hyperlink" Target="http://baike.haosou.com/doc/4939794.html" TargetMode="External"/><Relationship Id="rId30" Type="http://schemas.openxmlformats.org/officeDocument/2006/relationships/hyperlink" Target="http://baike.haosou.com/doc/2079784.html" TargetMode="External"/><Relationship Id="rId35" Type="http://schemas.openxmlformats.org/officeDocument/2006/relationships/hyperlink" Target="http://baike.haosou.com/doc/5349210.html" TargetMode="External"/><Relationship Id="rId43" Type="http://schemas.openxmlformats.org/officeDocument/2006/relationships/hyperlink" Target="http://baike.haosou.com/doc/5571566.html" TargetMode="External"/><Relationship Id="rId48" Type="http://schemas.openxmlformats.org/officeDocument/2006/relationships/hyperlink" Target="http://baike.haosou.com/doc/5367792.html" TargetMode="External"/><Relationship Id="rId56" Type="http://schemas.openxmlformats.org/officeDocument/2006/relationships/hyperlink" Target="http://baike.haosou.com/doc/1947383.html" TargetMode="External"/><Relationship Id="rId8" Type="http://schemas.openxmlformats.org/officeDocument/2006/relationships/hyperlink" Target="http://baike.haosou.com/doc/5861508.html" TargetMode="External"/><Relationship Id="rId51" Type="http://schemas.openxmlformats.org/officeDocument/2006/relationships/hyperlink" Target="http://baike.haosou.com/doc/537004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haosou.com/doc/246398.html" TargetMode="External"/><Relationship Id="rId17" Type="http://schemas.openxmlformats.org/officeDocument/2006/relationships/hyperlink" Target="http://baike.haosou.com/doc/2774776.html" TargetMode="External"/><Relationship Id="rId25" Type="http://schemas.openxmlformats.org/officeDocument/2006/relationships/hyperlink" Target="http://baike.haosou.com/doc/4702003.html" TargetMode="External"/><Relationship Id="rId33" Type="http://schemas.openxmlformats.org/officeDocument/2006/relationships/hyperlink" Target="http://baike.haosou.com/doc/3966885.html" TargetMode="External"/><Relationship Id="rId38" Type="http://schemas.openxmlformats.org/officeDocument/2006/relationships/hyperlink" Target="http://baike.haosou.com/doc/4070051.html" TargetMode="External"/><Relationship Id="rId46" Type="http://schemas.openxmlformats.org/officeDocument/2006/relationships/hyperlink" Target="http://baike.haosou.com/doc/5399487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baike.haosou.com/doc/4509302.html" TargetMode="External"/><Relationship Id="rId41" Type="http://schemas.openxmlformats.org/officeDocument/2006/relationships/hyperlink" Target="http://baike.haosou.com/doc/5400591.html" TargetMode="External"/><Relationship Id="rId54" Type="http://schemas.openxmlformats.org/officeDocument/2006/relationships/hyperlink" Target="http://baike.haosou.com/doc/540474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haosou.com/doc/649575.html" TargetMode="External"/><Relationship Id="rId15" Type="http://schemas.openxmlformats.org/officeDocument/2006/relationships/hyperlink" Target="http://baike.haosou.com/doc/4591657.html" TargetMode="External"/><Relationship Id="rId23" Type="http://schemas.openxmlformats.org/officeDocument/2006/relationships/hyperlink" Target="http://baike.haosou.com/doc/2217112.html" TargetMode="External"/><Relationship Id="rId28" Type="http://schemas.openxmlformats.org/officeDocument/2006/relationships/hyperlink" Target="http://baike.haosou.com/doc/2182802.html" TargetMode="External"/><Relationship Id="rId36" Type="http://schemas.openxmlformats.org/officeDocument/2006/relationships/hyperlink" Target="http://baike.haosou.com/doc/5582169.html" TargetMode="External"/><Relationship Id="rId49" Type="http://schemas.openxmlformats.org/officeDocument/2006/relationships/hyperlink" Target="http://baike.haosou.com/doc/6546833.html" TargetMode="External"/><Relationship Id="rId57" Type="http://schemas.openxmlformats.org/officeDocument/2006/relationships/hyperlink" Target="http://baike.haosou.com/doc/224098.html" TargetMode="External"/><Relationship Id="rId10" Type="http://schemas.openxmlformats.org/officeDocument/2006/relationships/hyperlink" Target="http://baike.haosou.com/doc/5416040.html" TargetMode="External"/><Relationship Id="rId31" Type="http://schemas.openxmlformats.org/officeDocument/2006/relationships/hyperlink" Target="http://baike.haosou.com/doc/5389064.html" TargetMode="External"/><Relationship Id="rId44" Type="http://schemas.openxmlformats.org/officeDocument/2006/relationships/hyperlink" Target="http://baike.haosou.com/doc/1626018.html" TargetMode="External"/><Relationship Id="rId52" Type="http://schemas.openxmlformats.org/officeDocument/2006/relationships/hyperlink" Target="http://baike.haosou.com/doc/11954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1317</Words>
  <Characters>7509</Characters>
  <Application>Microsoft Office Word</Application>
  <DocSecurity>0</DocSecurity>
  <Lines>62</Lines>
  <Paragraphs>17</Paragraphs>
  <ScaleCrop>false</ScaleCrop>
  <Company>Lenovo</Company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2015-09-25T03:18:00Z</dcterms:created>
  <dcterms:modified xsi:type="dcterms:W3CDTF">2015-09-25T03:29:00Z</dcterms:modified>
</cp:coreProperties>
</file>