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2ADB">
        <w:rPr>
          <w:rFonts w:ascii="Arial" w:eastAsia="宋体" w:hAnsi="Arial" w:cs="Arial"/>
          <w:color w:val="333333"/>
          <w:kern w:val="0"/>
          <w:szCs w:val="21"/>
        </w:rPr>
        <w:t>玄学，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中国魏晋时期出现的一种崇尚</w:t>
      </w:r>
      <w:hyperlink r:id="rId6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老庄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的思潮，一般特指</w:t>
      </w:r>
      <w:hyperlink r:id="rId7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魏晋玄学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这一概念，最早见于《老子》：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8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玄之又玄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，众妙之门。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王弼《</w:t>
      </w:r>
      <w:hyperlink r:id="rId9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老子指略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》说：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玄，谓之深者也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。玄学即是研究幽深玄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远问题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的学说。</w:t>
      </w:r>
    </w:p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2ADB">
        <w:rPr>
          <w:rFonts w:ascii="Arial" w:eastAsia="宋体" w:hAnsi="Arial" w:cs="Arial"/>
          <w:color w:val="333333"/>
          <w:kern w:val="0"/>
          <w:szCs w:val="21"/>
        </w:rPr>
        <w:t>玄学又称新道家，是对《</w:t>
      </w:r>
      <w:hyperlink r:id="rId10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老子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》、《</w:t>
      </w:r>
      <w:hyperlink r:id="rId11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庄子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》和《</w:t>
      </w:r>
      <w:hyperlink r:id="rId12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周易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》的研究和解说，产生于</w:t>
      </w:r>
      <w:hyperlink r:id="rId13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魏晋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2ADB">
        <w:rPr>
          <w:rFonts w:ascii="Arial" w:eastAsia="宋体" w:hAnsi="Arial" w:cs="Arial"/>
          <w:color w:val="FF0000"/>
          <w:kern w:val="0"/>
          <w:szCs w:val="21"/>
        </w:rPr>
        <w:t>玄学是中国魏晋时期到宋朝中叶之间出现的一种崇尚</w:t>
      </w:r>
      <w:hyperlink r:id="rId14" w:tgtFrame="_blank" w:history="1">
        <w:r w:rsidRPr="008D2ADB">
          <w:rPr>
            <w:rFonts w:ascii="Arial" w:eastAsia="宋体" w:hAnsi="Arial" w:cs="Arial"/>
            <w:color w:val="FF0000"/>
            <w:kern w:val="0"/>
            <w:szCs w:val="21"/>
          </w:rPr>
          <w:t>老庄</w:t>
        </w:r>
      </w:hyperlink>
      <w:r w:rsidRPr="008D2ADB">
        <w:rPr>
          <w:rFonts w:ascii="Arial" w:eastAsia="宋体" w:hAnsi="Arial" w:cs="Arial"/>
          <w:color w:val="FF0000"/>
          <w:kern w:val="0"/>
          <w:szCs w:val="21"/>
        </w:rPr>
        <w:t>的思潮。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也可以说是道家之学以一种新的表现方式，故又有新道家之称。其思潮持续时间自汉末起至宋朝中叶结束。与世俗所谓玄学、玄虚实有不同。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这一概念，最早出现于《老子》：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玄之又玄，</w:t>
      </w:r>
      <w:hyperlink r:id="rId15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众妙之门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hyperlink r:id="rId16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扬雄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也讲玄，他在《太玄？玄摛》说：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玄者，幽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摛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万类，不见形者也。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王弼《</w:t>
      </w:r>
      <w:hyperlink r:id="rId17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老子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指略》说：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玄，谓之深者也。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玄学即是研究幽深玄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远问题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的学说。魏晋时人注重《老子》、《庄子》和《周易》，称之为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8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三玄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，而《老子》、《庄子》则被视为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9" w:tgtFrame="_blank" w:history="1">
        <w:r w:rsidRPr="008D2ADB">
          <w:rPr>
            <w:rFonts w:ascii="Arial" w:eastAsia="宋体" w:hAnsi="Arial" w:cs="Arial"/>
            <w:color w:val="136EC2"/>
            <w:kern w:val="0"/>
            <w:szCs w:val="21"/>
          </w:rPr>
          <w:t>玄宗</w:t>
        </w:r>
      </w:hyperlink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2ADB">
        <w:rPr>
          <w:rFonts w:ascii="Arial" w:eastAsia="宋体" w:hAnsi="Arial" w:cs="Arial"/>
          <w:b/>
          <w:color w:val="FF0000"/>
          <w:kern w:val="0"/>
          <w:sz w:val="24"/>
          <w:szCs w:val="21"/>
        </w:rPr>
        <w:t>魏晋玄学的主要代表人物有何晏、王弼、阮籍、嵇康、向秀、郭象等。</w:t>
      </w:r>
    </w:p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2ADB">
        <w:rPr>
          <w:rFonts w:ascii="Arial" w:eastAsia="宋体" w:hAnsi="Arial" w:cs="Arial"/>
          <w:color w:val="333333"/>
          <w:kern w:val="0"/>
          <w:szCs w:val="21"/>
        </w:rPr>
        <w:t>玄学之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，出自老子的思想，《老子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·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一章》中说：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玄之又玄，众妙之门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玄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就是总天地万物的一般规律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道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，它体现了万物无穷奥妙的变化作用。玄学家们还用他们的老、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庄思想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来注解儒家的《论语》、《周易》，对已经失去维系人心作用的两汉经学作了改造，建立起了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以无为本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的哲学本体论。儒家的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礼法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名教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人道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等思想，虽然也是玄学所讨论的内容，但其主旨却是道家的，即强调崇高的是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无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自然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无为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2ADB">
        <w:rPr>
          <w:rFonts w:ascii="Arial" w:eastAsia="宋体" w:hAnsi="Arial" w:cs="Arial"/>
          <w:color w:val="333333"/>
          <w:kern w:val="0"/>
          <w:szCs w:val="21"/>
        </w:rPr>
        <w:t>玄学所探讨的中心问题尽管仍可归结为天人关系问题，但在形式上，它已经摆脱了两汉经学章句笺注的繁琐破碎；在内容上，则抛弃了经学思潮的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天人感应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的粗俗的目的论之论证。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玄学家在多方面论证了道家的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“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自然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”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与儒家的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“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名教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”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二者是一致的，他们一改汉代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“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儒道互</w:t>
      </w:r>
      <w:proofErr w:type="gramStart"/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黜</w:t>
      </w:r>
      <w:proofErr w:type="gramEnd"/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”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的思想格局，主张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“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祖述</w:t>
      </w:r>
      <w:hyperlink r:id="rId20" w:tgtFrame="_blank" w:history="1">
        <w:r w:rsidRPr="008D2ADB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老庄</w:t>
        </w:r>
      </w:hyperlink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”</w:t>
      </w:r>
      <w:r w:rsidRPr="008D2ADB">
        <w:rPr>
          <w:rFonts w:ascii="Arial" w:eastAsia="宋体" w:hAnsi="Arial" w:cs="Arial"/>
          <w:color w:val="FF0000"/>
          <w:kern w:val="0"/>
          <w:szCs w:val="21"/>
          <w:u w:val="single"/>
        </w:rPr>
        <w:t>，以道家为主调和儒道。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玄学所提出的或着重关注的有无、本末、体用、言意、一多、动静、梦觉、本迹、自然与名教等一系列具有思辨性质的概念范畴都是道家所具备重视，而原始儒学和两汉经学所不具备或不重视的，玄学的出现大大推动了中国哲学的发展。</w:t>
      </w:r>
    </w:p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郎擎霄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《庄子学案》概述说：当时达官名士，多宗老庄如魏王弼，、何晏、山涛、阮籍、嵇康、向秀、郭象，晋王济、王衍、卢谌、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庾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数、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庾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亮、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桓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石秀、司马彪、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崔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馔、李颐，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宋戴顺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、李叔乏、齐祖冲之、徐白珍，梁江轿、伏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曼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客、掼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埸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、严植之、刘昭、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庾曼倩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陈周弘正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、徐陵、全缓、张讥、陆瑜，北魏程骏、邱晏，北齐杜弼其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著者也。这是一个不小的名单，但并非全部。社会各阶层习《庄》之风蔚为大观，按吕思勉先生的说法，此风一直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到隋才慢慢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停息。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帝王、贵戚、大臣、武夫、儒生、文人、艺士、妇女无不能之。余风又流衍于北。入隋乃息</w:t>
      </w:r>
      <w:r w:rsidRPr="008D2ADB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bookmarkStart w:id="0" w:name="ref_[1]_964"/>
      <w:r w:rsidRPr="008D2AD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8D2A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8D2ADB" w:rsidRPr="008D2ADB" w:rsidRDefault="008D2ADB" w:rsidP="008D2AD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2ADB">
        <w:rPr>
          <w:rFonts w:ascii="Arial" w:eastAsia="宋体" w:hAnsi="Arial" w:cs="Arial"/>
          <w:color w:val="333333"/>
          <w:kern w:val="0"/>
          <w:szCs w:val="21"/>
        </w:rPr>
        <w:t>玄学至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东晋后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不减反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增更是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风行，王弼《周易注》在南朝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立于学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官，南朝宋齐两代的官方四学都包括玄学，梁、陈两代又盛行讲论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三玄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t>之风，故而东晋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南朝都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应当是玄学的流行期。关于唐代的学术，过去人们都说是兼行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儒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释道三教。现在看来，唐朝的官方学术与民间学术应有不同，官方学术包括经学与道学，经学即五经及《论语》、《孝经》之学，其中《周易》用王弼注，《论语》用何晏的《集解》，这完全是玄学中《易》学的延续；唐代道学、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道举尊崇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《老子》、《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列子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》、《文子》、《庄子》四部书，四部书都称为经，这种道学可说是玄学中的</w:t>
      </w:r>
      <w:proofErr w:type="gramStart"/>
      <w:r w:rsidRPr="008D2ADB">
        <w:rPr>
          <w:rFonts w:ascii="Arial" w:eastAsia="宋体" w:hAnsi="Arial" w:cs="Arial"/>
          <w:color w:val="333333"/>
          <w:kern w:val="0"/>
          <w:szCs w:val="21"/>
        </w:rPr>
        <w:t>老庄学</w:t>
      </w:r>
      <w:proofErr w:type="gramEnd"/>
      <w:r w:rsidRPr="008D2ADB">
        <w:rPr>
          <w:rFonts w:ascii="Arial" w:eastAsia="宋体" w:hAnsi="Arial" w:cs="Arial"/>
          <w:color w:val="333333"/>
          <w:kern w:val="0"/>
          <w:szCs w:val="21"/>
        </w:rPr>
        <w:t>的发扬或放大</w:t>
      </w:r>
      <w:r w:rsidRPr="008D2ADB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bookmarkStart w:id="1" w:name="ref_[2]_964"/>
      <w:r w:rsidRPr="008D2AD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8D2AD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2" w:name="ref_2"/>
      <w:bookmarkEnd w:id="2"/>
      <w:r w:rsidRPr="008D2ADB">
        <w:rPr>
          <w:rFonts w:ascii="Arial" w:eastAsia="宋体" w:hAnsi="Arial" w:cs="Arial"/>
          <w:color w:val="333333"/>
          <w:kern w:val="0"/>
          <w:szCs w:val="21"/>
        </w:rPr>
        <w:t>。通常意义上说，一个时代思潮在宏盛过后便会</w:t>
      </w:r>
      <w:r w:rsidRPr="008D2ADB">
        <w:rPr>
          <w:rFonts w:ascii="Arial" w:eastAsia="宋体" w:hAnsi="Arial" w:cs="Arial"/>
          <w:color w:val="333333"/>
          <w:kern w:val="0"/>
          <w:szCs w:val="21"/>
        </w:rPr>
        <w:lastRenderedPageBreak/>
        <w:t>日渐式微，即使留些余绪，也不过气若游丝。而玄学思潮经历几百年的绵延，入唐后非但没有衰退，反而取得新一轮发展的恢弘气势。玄学至宋朝中叶被宋明理学取代。</w:t>
      </w:r>
    </w:p>
    <w:p w:rsidR="008D2ADB" w:rsidRDefault="008D2ADB" w:rsidP="00767E32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D2ADB" w:rsidRPr="00767E32" w:rsidRDefault="008D2ADB" w:rsidP="008D2ADB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 w:hint="eastAsia"/>
          <w:b/>
          <w:color w:val="FF0000"/>
          <w:kern w:val="0"/>
          <w:szCs w:val="21"/>
        </w:rPr>
      </w:pPr>
      <w:hyperlink r:id="rId21" w:tgtFrame="_blank" w:history="1">
        <w:r w:rsidRPr="00767E32">
          <w:rPr>
            <w:rFonts w:ascii="Arial" w:eastAsia="宋体" w:hAnsi="Arial" w:cs="Arial"/>
            <w:b/>
            <w:color w:val="FF0000"/>
            <w:kern w:val="0"/>
            <w:szCs w:val="21"/>
          </w:rPr>
          <w:t>兰亭集序</w:t>
        </w:r>
      </w:hyperlink>
      <w:r w:rsidRPr="00767E32">
        <w:rPr>
          <w:rFonts w:ascii="Arial" w:eastAsia="宋体" w:hAnsi="Arial" w:cs="Arial" w:hint="eastAsia"/>
          <w:b/>
          <w:color w:val="FF0000"/>
          <w:kern w:val="0"/>
          <w:szCs w:val="21"/>
        </w:rPr>
        <w:t>的生死观</w:t>
      </w:r>
    </w:p>
    <w:p w:rsidR="008D2ADB" w:rsidRDefault="008D2ADB" w:rsidP="00767E32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3" w:name="_GoBack"/>
      <w:bookmarkEnd w:id="3"/>
    </w:p>
    <w:p w:rsidR="006B5087" w:rsidRDefault="00767E32" w:rsidP="00767E32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67E32">
        <w:rPr>
          <w:rFonts w:ascii="Arial" w:eastAsia="宋体" w:hAnsi="Arial" w:cs="Arial"/>
          <w:color w:val="333333"/>
          <w:kern w:val="0"/>
          <w:szCs w:val="21"/>
        </w:rPr>
        <w:t>天下第一行书王羲之的《</w:t>
      </w:r>
      <w:hyperlink r:id="rId22" w:tgtFrame="_blank" w:history="1">
        <w:r w:rsidRPr="00767E32">
          <w:rPr>
            <w:rFonts w:ascii="Arial" w:eastAsia="宋体" w:hAnsi="Arial" w:cs="Arial"/>
            <w:color w:val="87B5F3"/>
            <w:kern w:val="0"/>
            <w:szCs w:val="21"/>
          </w:rPr>
          <w:t>兰亭集序</w:t>
        </w:r>
      </w:hyperlink>
      <w:r w:rsidRPr="00767E32">
        <w:rPr>
          <w:rFonts w:ascii="Arial" w:eastAsia="宋体" w:hAnsi="Arial" w:cs="Arial"/>
          <w:color w:val="333333"/>
          <w:kern w:val="0"/>
          <w:szCs w:val="21"/>
        </w:rPr>
        <w:t>》，自宋朝起就起论辩，至上世纪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60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年代由毛泽东卞席促成，郭沫若与高二适对论辩推向高潮。兰亭论辩的焦点较多，其中之一就是对该文中的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一死生为虚诞，齐彭疡为妄作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的阐释分歧较大。至今仍有不少人认为，王羲之这是有力批判了在当时颇为流行的老庄思想，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这在崇尚玄学、老庄思想的东晋时代有其现实的积极意义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。这显然人为拔高了王羲之的思想，并没有真正把握住王羲之批评庄子的立足点。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Pr="006B5087" w:rsidRDefault="00767E32" w:rsidP="006B5087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王羲之没有超脱玄学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玄学为王羲之家族文化。</w:t>
      </w:r>
    </w:p>
    <w:p w:rsidR="006B5087" w:rsidRP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一代宗师陈寅烙先生说过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东汉以后学术文化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变为地力一化及家门化矣。故论学术，只有家学而言，而学术与大族盛门常不可分离也。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朝廷重臣、名士领袖王导是王羲之的伯父，王导既是政治家又是清谈家。王家玄学中的违礼、狂放在王羲之身上同样打上烙印，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袒腹东床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故事最能证明这一点。王羲之之子王献之、王徽之，均放诞不羁，任情态性。王徽之为参军时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蓬首散带，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不综知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其府事，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时人皆钦其才而秽其行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。而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人琴俱亡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的故事，不仅生动说明了王献之、王徽之兄弟俩的深情，更</w:t>
      </w:r>
      <w:r w:rsidR="006B5087" w:rsidRPr="006B5087">
        <w:rPr>
          <w:rFonts w:ascii="Arial" w:eastAsia="宋体" w:hAnsi="Arial" w:cs="Arial" w:hint="eastAsia"/>
          <w:color w:val="333333"/>
          <w:kern w:val="0"/>
          <w:szCs w:val="21"/>
        </w:rPr>
        <w:t>表现了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王氏家族作为名士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溺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十性情不拘礼法的风度。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67E32">
        <w:rPr>
          <w:rFonts w:ascii="Arial" w:eastAsia="宋体" w:hAnsi="Arial" w:cs="Arial"/>
          <w:color w:val="333333"/>
          <w:kern w:val="0"/>
          <w:szCs w:val="21"/>
        </w:rPr>
        <w:t>与王羲之要好的朋友绝大多数是玄学家。《</w:t>
      </w:r>
      <w:hyperlink r:id="rId23" w:tgtFrame="_blank" w:history="1">
        <w:r w:rsidRPr="00767E32">
          <w:rPr>
            <w:rFonts w:ascii="Arial" w:eastAsia="宋体" w:hAnsi="Arial" w:cs="Arial"/>
            <w:color w:val="87B5F3"/>
            <w:kern w:val="0"/>
            <w:szCs w:val="21"/>
          </w:rPr>
          <w:t>中兴书</w:t>
        </w:r>
      </w:hyperlink>
      <w:r w:rsidRPr="00767E32">
        <w:rPr>
          <w:rFonts w:ascii="Arial" w:eastAsia="宋体" w:hAnsi="Arial" w:cs="Arial"/>
          <w:color w:val="333333"/>
          <w:kern w:val="0"/>
          <w:szCs w:val="21"/>
        </w:rPr>
        <w:t>》曰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安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兀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居会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稽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，与支道林、王羲之、许询、共游处。出则渔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弋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山水，入则谈说属文，未尝有处世意也。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安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兀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、支道林、许询均是当时清谈名流。王羲之的另外两位好友殷浩、刘快也均好老庄，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善谈《老》、《易》，擅名江东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。参加兰亭集会的谢安、孙绰均是玄学名士。谢安继王导之后同样以清谈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名士居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宰辅之任，风流洒脱比王导更胜一筹，他并不认为玄学清谈会误国误民，曾反问王羲之说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秦任商鞍，二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而亡，岂清言致患邪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?” 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67E32">
        <w:rPr>
          <w:rFonts w:ascii="Arial" w:eastAsia="宋体" w:hAnsi="Arial" w:cs="Arial"/>
          <w:color w:val="333333"/>
          <w:kern w:val="0"/>
          <w:szCs w:val="21"/>
        </w:rPr>
        <w:t>从《兰亭集序》及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26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人的诗作看，玄学依然占据他们的心灵。他们的诗不脱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玄言诗范畴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，大量玄学用语充实其中，例如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万殊混理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真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契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齐古今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遗世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保真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齐物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彭荡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等。而王羲之《</w:t>
      </w:r>
      <w:hyperlink r:id="rId24" w:tgtFrame="_blank" w:history="1">
        <w:r w:rsidRPr="00767E32">
          <w:rPr>
            <w:rFonts w:ascii="Arial" w:eastAsia="宋体" w:hAnsi="Arial" w:cs="Arial"/>
            <w:color w:val="87B5F3"/>
            <w:kern w:val="0"/>
            <w:szCs w:val="21"/>
          </w:rPr>
          <w:t>兰亭诗</w:t>
        </w:r>
      </w:hyperlink>
      <w:r w:rsidRPr="00767E32">
        <w:rPr>
          <w:rFonts w:ascii="Arial" w:eastAsia="宋体" w:hAnsi="Arial" w:cs="Arial"/>
          <w:color w:val="333333"/>
          <w:kern w:val="0"/>
          <w:szCs w:val="21"/>
        </w:rPr>
        <w:t>》中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万殊莫不均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造真探玄根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散之在推理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等均为玄言。王羲之的好友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支遁将《庄子》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逍遥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义创解为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即色论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，主张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色是空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空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无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存在于色彩斑斓、万象纷呈之中。钱秀南提出，王羲之的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兰亭《诗》、《序》显然发挥了支遁《</w:t>
      </w:r>
      <w:hyperlink r:id="rId25" w:tgtFrame="_blank" w:history="1">
        <w:r w:rsidRPr="00767E32">
          <w:rPr>
            <w:rFonts w:ascii="Arial" w:eastAsia="宋体" w:hAnsi="Arial" w:cs="Arial"/>
            <w:color w:val="87B5F3"/>
            <w:kern w:val="0"/>
            <w:szCs w:val="21"/>
          </w:rPr>
          <w:t>逍遥论</w:t>
        </w:r>
      </w:hyperlink>
      <w:r w:rsidRPr="00767E32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即色论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意旨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　　因此看来，这次兰亭集会是一群玄学之友，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借修欣之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事，赏景、饮酒、赋诗，享受人生之乐趣。其间自然也离不开谈玄析理，他们因玄学物我同一而相知，不仅是同类，而且为好友。在这样的时节王羲之当然会发出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Start"/>
      <w:r w:rsidRPr="00767E32">
        <w:rPr>
          <w:rFonts w:ascii="Arial" w:eastAsia="宋体" w:hAnsi="Arial" w:cs="Arial"/>
          <w:color w:val="333333"/>
          <w:kern w:val="0"/>
          <w:szCs w:val="21"/>
        </w:rPr>
        <w:t>快然</w:t>
      </w:r>
      <w:proofErr w:type="gramEnd"/>
      <w:r w:rsidRPr="00767E32">
        <w:rPr>
          <w:rFonts w:ascii="Arial" w:eastAsia="宋体" w:hAnsi="Arial" w:cs="Arial"/>
          <w:color w:val="333333"/>
          <w:kern w:val="0"/>
          <w:szCs w:val="21"/>
        </w:rPr>
        <w:t>自足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适我无非亲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>的感慨。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67E3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Pr="006B5087" w:rsidRDefault="00767E32" w:rsidP="006B5087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王羲之的玄学思想有明显的个性倾向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我们谈及魏晋玄学时，总是老、庄不分，仿佛老、庄就是一个人。实际上，在当时老、庄是两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相异的思想流派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黄帝、老子为一派，《</w:t>
      </w:r>
      <w:hyperlink r:id="rId26" w:tgtFrame="_blank" w:history="1"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周易</w:t>
        </w:r>
      </w:hyperlink>
      <w:r w:rsidRPr="006B5087">
        <w:rPr>
          <w:rFonts w:ascii="Arial" w:eastAsia="宋体" w:hAnsi="Arial" w:cs="Arial"/>
          <w:color w:val="333333"/>
          <w:kern w:val="0"/>
          <w:szCs w:val="21"/>
        </w:rPr>
        <w:t>》、庄子为一派。两家虽都是以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无为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作为最高境界，都把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无为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作为手段，但黄、老的目的在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无不为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，这是一种用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的态度。庄子正好相反，是消极的出世的态度。魏晋名士盛行玄谈，其中老、庄之争常常是他们论战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lastRenderedPageBreak/>
        <w:t>的焦点。阮籍和王坦之都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作诗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著文直接批判庄子。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王羲之接受的是黄、老思想。《</w:t>
      </w:r>
      <w:hyperlink r:id="rId27" w:tgtFrame="_blank" w:history="1"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晋书</w:t>
        </w:r>
      </w:hyperlink>
      <w:r w:rsidRPr="006B5087">
        <w:rPr>
          <w:rFonts w:ascii="Arial" w:eastAsia="宋体" w:hAnsi="Arial" w:cs="Arial"/>
          <w:color w:val="333333"/>
          <w:kern w:val="0"/>
          <w:szCs w:val="21"/>
        </w:rPr>
        <w:t>》石，郑情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与姊夫王羲之、高士许询并有迈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之风，俱栖心绝谷，修黄、老之术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。这里并不见王羲之迷恋庄子的踪影。王羲之有一则杂帖，鲜明表明了他对老、庄的态度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省不，知足下奉法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指佛法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转到，胜理极此。此故荡涤尘垢，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研遣滞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虑，可谓尽矣，无以复加，漆园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即庄子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比之，殊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诞谩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如下言也。吾所奉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(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指五斗米道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设教意正同，但为形迹小异耳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……”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这里王羲之一力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而斥责庄子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诞谩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如下言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-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力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而表明终始虔诚十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”(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源十黄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、老的天师道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。钱钟书指出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晋代士大夫不乏事张鲁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鬼道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者，王氏家风不孤。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王羲之次子王凝之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正囚太痴迷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这一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鬼道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，而为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叛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贼所害。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相对于王凝之而言，王羲之更多接受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中关心下层群众疾苦的思想。他在给殷浩、谢万信中分别劝诫他们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引咎责躬，更为善治，省共赋役，与民更始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愿君每与士卒之下者同甘共苦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。他任地力一官时，实行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宽和为木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的仁政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时东土饥荒，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羲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之辄开仓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赈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贷。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他在做护军将军时，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践行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生存权利的公平而均等的思想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今所在要在十公役均平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其有老落笃瘾，不堪从役，或有饥寒之色，不能自存者，区分处别。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这种均平意识，体恤老弱病残的做法在古代实在罕见。他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虽志不在仕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林，但对国事表现出强烈的责任感，他对殷浩表不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若蒙驱使，关陇、巴蜀皆所不辞。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他劝谢安说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虚谈废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务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，浮文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妨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要。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当年郭沫若就以此与王羲之在《兰亭集序》后半部分所表现的消沉人生态度不符，进而认定自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夫人之相与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以下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160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字都是后人加上去的，并加上断语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:“(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添加人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)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是不懂老庄思想和晋人思想的人，甚至连王羲之的思想也不曾弄通。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事实上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不曾弄通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的应是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郭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木人。人们常认为魏晋玄学就是一个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玄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字，而忽视玄为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、儒为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这一特点。汤用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彤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先生指出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世人多以玄学为老、庄之附庸，而忘其亦儒学之蜕变。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王羲之、王导、谢安等都是儒学人格玄学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化代表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人物。就王羲之木人而言，他的经世致用思想更多的是来自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的原始道教的情结。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B5087">
        <w:rPr>
          <w:rFonts w:ascii="Arial" w:eastAsia="宋体" w:hAnsi="Arial" w:cs="Arial"/>
          <w:color w:val="FF0000"/>
          <w:kern w:val="0"/>
          <w:szCs w:val="21"/>
        </w:rPr>
        <w:t>王羲之尽管</w:t>
      </w:r>
      <w:proofErr w:type="gramStart"/>
      <w:r w:rsidRPr="006B5087">
        <w:rPr>
          <w:rFonts w:ascii="Arial" w:eastAsia="宋体" w:hAnsi="Arial" w:cs="Arial"/>
          <w:color w:val="FF0000"/>
          <w:kern w:val="0"/>
          <w:szCs w:val="21"/>
        </w:rPr>
        <w:t>崇老贬</w:t>
      </w:r>
      <w:proofErr w:type="gramEnd"/>
      <w:r w:rsidRPr="006B5087">
        <w:rPr>
          <w:rFonts w:ascii="Arial" w:eastAsia="宋体" w:hAnsi="Arial" w:cs="Arial"/>
          <w:color w:val="FF0000"/>
          <w:kern w:val="0"/>
          <w:szCs w:val="21"/>
        </w:rPr>
        <w:t>庄，但他对庄子并不是全然否定，相反对庄子的某些东西还比较欣赏。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王羲之阅读支道林论著《</w:t>
      </w:r>
      <w:hyperlink r:id="rId28" w:tgtFrame="_blank" w:history="1"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庄子</w:t>
        </w:r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·</w:t>
        </w:r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逍遥游</w:t>
        </w:r>
      </w:hyperlink>
      <w:r w:rsidRPr="006B5087">
        <w:rPr>
          <w:rFonts w:ascii="Arial" w:eastAsia="宋体" w:hAnsi="Arial" w:cs="Arial"/>
          <w:color w:val="333333"/>
          <w:kern w:val="0"/>
          <w:szCs w:val="21"/>
        </w:rPr>
        <w:t>》时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披襟解带，留连不能己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。王羲之《兰亭诗》中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万殊莫不均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，明显就是庄子的齐物思想，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群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籁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虽参差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也是用的《</w:t>
      </w:r>
      <w:hyperlink r:id="rId29" w:tgtFrame="_blank" w:history="1"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庄子</w:t>
        </w:r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·</w:t>
        </w:r>
        <w:r w:rsidRPr="006B5087">
          <w:rPr>
            <w:rFonts w:ascii="Arial" w:eastAsia="宋体" w:hAnsi="Arial" w:cs="Arial"/>
            <w:color w:val="87B5F3"/>
            <w:kern w:val="0"/>
            <w:szCs w:val="21"/>
          </w:rPr>
          <w:t>齐物论</w:t>
        </w:r>
      </w:hyperlink>
      <w:r w:rsidRPr="006B5087">
        <w:rPr>
          <w:rFonts w:ascii="Arial" w:eastAsia="宋体" w:hAnsi="Arial" w:cs="Arial"/>
          <w:color w:val="333333"/>
          <w:kern w:val="0"/>
          <w:szCs w:val="21"/>
        </w:rPr>
        <w:t>》的典故。这与其《序》中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固知一死生为虚诞，齐彭疡为妄作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批判言语极其矛盾。钱南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秀分析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这一矛盾时说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分明是曲终人散，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向之所欣，俯仰之间己为陈迹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，心灵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隋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感受到极大震荡，深切体味到死生异路，寿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夭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不均，遂不顾析理上的不合时宜，下笔直抒胸臆，表现了他对理的超越，对情的执著。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可是这种解释不能令人信服，因为一个人的情绪可能瞬间变化较大，但一个人的思想大概不会说变就变。倒是钱钟书先生解释相对合理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一死生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齐彭疡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为虚妄，乃出十修神仙、求长寿之妄念虚想。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王羲之这样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修神仙、求长寿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的思想则来自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五斗米道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的道教神仙、力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术之说。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杜萌若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得出结论说，王羲之否定庄子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齐死生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思想，是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从内心深处对神仙长生之说彻底绝望，正囚为希望是那样强烈，绝望才那样彻底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，但这种绝望至少应是在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永和十一年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以后的事，因为写此序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2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年后王羲之辞官出游，乃乐此不疲地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不远千里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求仙服散。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Pr="006B5087" w:rsidRDefault="00767E32" w:rsidP="006B5087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王羲之否定庄子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一死生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观更多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的是来自现实的悲</w:t>
      </w:r>
      <w:r w:rsidR="006B5087" w:rsidRPr="006B5087">
        <w:rPr>
          <w:rFonts w:ascii="Arial" w:eastAsia="宋体" w:hAnsi="Arial" w:cs="Arial" w:hint="eastAsia"/>
          <w:color w:val="333333"/>
          <w:kern w:val="0"/>
          <w:szCs w:val="21"/>
        </w:rPr>
        <w:t>愤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让王羲之如此确定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固知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一死生、齐彭荡不真实，至少来自苦涩生活。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6B5087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</w:p>
    <w:p w:rsid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一是生死的诀别。《全晋文》所收王羲之的杂帖，有四十多通都使用了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痛哉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悲夫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语义的词汇。令王羲之痛心疾首的是中年丧子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玄之、官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奴先后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夭折。其次是他的周嫂亡故，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lastRenderedPageBreak/>
        <w:t>王羲之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6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岁时，父亲下落不明，他在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母兄鞠育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中长大。其嫂为汝南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名族周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n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的女儿，非常贤惠，待王羲之甚好。永和年间周嫂病死，王羲之多次写道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痛彻心肝，当奈何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奈何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!”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面对亲人的生死诀别，没有人能洒脱，虽阮籍犹不能，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况羲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之乎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?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面对那种摧心断骨的悲痛，他怎么相信生与死、长寿和夭折是一样呢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</w:p>
    <w:p w:rsidR="00767E32" w:rsidRPr="006B5087" w:rsidRDefault="00767E32" w:rsidP="006B5087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5087">
        <w:rPr>
          <w:rFonts w:ascii="Arial" w:eastAsia="宋体" w:hAnsi="Arial" w:cs="Arial"/>
          <w:color w:val="333333"/>
          <w:kern w:val="0"/>
          <w:szCs w:val="21"/>
        </w:rPr>
        <w:t>二是人生的无奈。司马睿在王羲之父亲王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旷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、伯父王导和王敦的建议和辅佐下，建立东晋政权，但这并没有能改变政坛的动荡和时局的混乱。朝纲大乱，主仆颠倒，兄弟反目，朋友无信，百姓命如草芥，这让王羲之无法捉摸人生。特别令他尴尬、迷惘、苦涩的是他两位从伯王敦与王导、两位叔叔王庚与王彬选择了截然不同的人生取向。一边是王敦与王庚叛乱，杀害忠良。王羲之贤嫂的父亲、伯父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忠臣周、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周额就是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被王敦杀死的。在王羲之成长的过程中，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周额起到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了关键作用。王羲之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13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岁时，时任右长史的周额，将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洛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京名菜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牛心炙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，最先敬给王羲之，从此王羲之名扬天下。而王庚秉承王敦旨意杀死忠臣司马压。虽然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王庚为右军之师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，但王羲之却一直耻于提及叔父王庚。另一边是王彬不惧死亡的威胁，当面痛骂王敦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抗族犯顺，杀戮忠良，图为不轨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，王导则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率宗族，每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旦诣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台待罪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，王羲之也应该是站在这生死边缘中的一员。每天或生或死的等待，无疑是人世间最漫长的煎熬。一边杀人者是自己尊敬的长辈，另一边受害者是自己敬重的恩人。这又怎么会让王羲之认为爱恨情仇是一样的呢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?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那种生与死无奈的被动选择，大概不会</w:t>
      </w:r>
      <w:proofErr w:type="gramStart"/>
      <w:r w:rsidRPr="006B508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6B5087">
        <w:rPr>
          <w:rFonts w:ascii="Arial" w:eastAsia="宋体" w:hAnsi="Arial" w:cs="Arial"/>
          <w:color w:val="333333"/>
          <w:kern w:val="0"/>
          <w:szCs w:val="21"/>
        </w:rPr>
        <w:t>震撼王羲之的心灵，也不会使他相信生与死是相同的吧</w:t>
      </w:r>
      <w:r w:rsidRPr="006B5087">
        <w:rPr>
          <w:rFonts w:ascii="Arial" w:eastAsia="宋体" w:hAnsi="Arial" w:cs="Arial"/>
          <w:color w:val="333333"/>
          <w:kern w:val="0"/>
          <w:szCs w:val="21"/>
        </w:rPr>
        <w:t>!</w:t>
      </w:r>
    </w:p>
    <w:p w:rsidR="00703648" w:rsidRPr="00767E32" w:rsidRDefault="00703648"/>
    <w:sectPr w:rsidR="00703648" w:rsidRPr="0076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100D"/>
    <w:multiLevelType w:val="hybridMultilevel"/>
    <w:tmpl w:val="95C08124"/>
    <w:lvl w:ilvl="0" w:tplc="A67689DE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32"/>
    <w:rsid w:val="006B5087"/>
    <w:rsid w:val="00703648"/>
    <w:rsid w:val="00767E32"/>
    <w:rsid w:val="008D2ADB"/>
    <w:rsid w:val="009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5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712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4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188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8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388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6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43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786">
          <w:marLeft w:val="255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5270.htm" TargetMode="External"/><Relationship Id="rId13" Type="http://schemas.openxmlformats.org/officeDocument/2006/relationships/hyperlink" Target="http://baike.baidu.com/subview/3510067/6351571.htm" TargetMode="External"/><Relationship Id="rId18" Type="http://schemas.openxmlformats.org/officeDocument/2006/relationships/hyperlink" Target="http://baike.baidu.com/view/110425.htm" TargetMode="External"/><Relationship Id="rId26" Type="http://schemas.openxmlformats.org/officeDocument/2006/relationships/hyperlink" Target="http://www.haosou.com/s?q=%E5%91%A8%E6%98%93&amp;ie=utf-8&amp;src=wenda_lin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aosou.com/s?q=%E5%85%B0%E4%BA%AD%E9%9B%86%E5%BA%8F&amp;ie=utf-8&amp;src=wenda_link" TargetMode="External"/><Relationship Id="rId7" Type="http://schemas.openxmlformats.org/officeDocument/2006/relationships/hyperlink" Target="http://baike.baidu.com/view/51460.htm" TargetMode="External"/><Relationship Id="rId12" Type="http://schemas.openxmlformats.org/officeDocument/2006/relationships/hyperlink" Target="http://baike.baidu.com/view/2693.htm" TargetMode="External"/><Relationship Id="rId17" Type="http://schemas.openxmlformats.org/officeDocument/2006/relationships/hyperlink" Target="http://baike.baidu.com/view/2237.htm" TargetMode="External"/><Relationship Id="rId25" Type="http://schemas.openxmlformats.org/officeDocument/2006/relationships/hyperlink" Target="http://www.haosou.com/s?q=%E9%80%8D%E9%81%A5%E8%AE%BA&amp;ie=utf-8&amp;src=wenda_link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67276.htm" TargetMode="External"/><Relationship Id="rId20" Type="http://schemas.openxmlformats.org/officeDocument/2006/relationships/hyperlink" Target="http://baike.baidu.com/view/545507.htm" TargetMode="External"/><Relationship Id="rId29" Type="http://schemas.openxmlformats.org/officeDocument/2006/relationships/hyperlink" Target="http://www.haosou.com/s?q=%E5%BA%84%E5%AD%90%C2%B7%E9%BD%90%E7%89%A9%E8%AE%BA&amp;ie=utf-8&amp;src=wenda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45507.htm" TargetMode="External"/><Relationship Id="rId11" Type="http://schemas.openxmlformats.org/officeDocument/2006/relationships/hyperlink" Target="http://baike.baidu.com/subview/2760/5744094.htm" TargetMode="External"/><Relationship Id="rId24" Type="http://schemas.openxmlformats.org/officeDocument/2006/relationships/hyperlink" Target="http://www.haosou.com/s?q=%E5%85%B0%E4%BA%AD%E8%AF%97&amp;ie=utf-8&amp;src=wenda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705982.htm" TargetMode="External"/><Relationship Id="rId23" Type="http://schemas.openxmlformats.org/officeDocument/2006/relationships/hyperlink" Target="http://www.haosou.com/s?q=%E4%B8%AD%E5%85%B4%E4%B9%A6&amp;ie=utf-8&amp;src=wenda_link" TargetMode="External"/><Relationship Id="rId28" Type="http://schemas.openxmlformats.org/officeDocument/2006/relationships/hyperlink" Target="http://www.haosou.com/s?q=%E5%BA%84%E5%AD%90%C2%B7%E9%80%8D%E9%81%A5%E6%B8%B8&amp;ie=utf-8&amp;src=wenda_link" TargetMode="External"/><Relationship Id="rId10" Type="http://schemas.openxmlformats.org/officeDocument/2006/relationships/hyperlink" Target="http://baike.baidu.com/view/2237.htm" TargetMode="External"/><Relationship Id="rId19" Type="http://schemas.openxmlformats.org/officeDocument/2006/relationships/hyperlink" Target="http://baike.baidu.com/view/1266294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2624.htm" TargetMode="External"/><Relationship Id="rId14" Type="http://schemas.openxmlformats.org/officeDocument/2006/relationships/hyperlink" Target="http://baike.baidu.com/view/545507.htm" TargetMode="External"/><Relationship Id="rId22" Type="http://schemas.openxmlformats.org/officeDocument/2006/relationships/hyperlink" Target="http://www.haosou.com/s?q=%E5%85%B0%E4%BA%AD%E9%9B%86%E5%BA%8F&amp;ie=utf-8&amp;src=wenda_link" TargetMode="External"/><Relationship Id="rId27" Type="http://schemas.openxmlformats.org/officeDocument/2006/relationships/hyperlink" Target="http://www.haosou.com/s?q=%E6%99%8B%E4%B9%A6&amp;ie=utf-8&amp;src=wenda_li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1030</Words>
  <Characters>5876</Characters>
  <Application>Microsoft Office Word</Application>
  <DocSecurity>0</DocSecurity>
  <Lines>48</Lines>
  <Paragraphs>13</Paragraphs>
  <ScaleCrop>false</ScaleCrop>
  <Company>Lenovo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2015-12-23T02:18:00Z</dcterms:created>
  <dcterms:modified xsi:type="dcterms:W3CDTF">2015-12-24T02:24:00Z</dcterms:modified>
</cp:coreProperties>
</file>