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95AF"/>
          <w:sz w:val="18"/>
        </w:rPr>
        <w:t>ATELIER EXERCICE COORDONNÉ  /  01</w:t>
      </w:r>
    </w:p>
    <w:p>
      <w:pPr>
        <w:pStyle w:val="Heading1"/>
      </w:pPr>
      <w:r>
        <w:t>Le pack de la journée</w:t>
      </w:r>
    </w:p>
    <w:p>
      <w:pPr>
        <w:pStyle w:val="Subtitle"/>
      </w:pPr>
      <w:r>
        <w:t>Guide d’animation et de prise en main</w:t>
      </w:r>
    </w:p>
    <w:p>
      <w:r>
        <w:rPr>
          <w:b w:val="0"/>
        </w:rPr>
        <w:t>Plateau V9 enrichi pour inscrire les groupes, conserver leurs échanges, rassembler les résultats et préparer la restitution commune.</w:t>
      </w:r>
    </w:p>
    <w:p>
      <w:pPr>
        <w:pStyle w:val="Heading2"/>
      </w:pPr>
      <w:r>
        <w:t>Les fichiers à utiliser</w:t>
      </w:r>
    </w:p>
    <w:tbl>
      <w:tblPr>
        <w:tblW w:type="auto" w:w="0"/>
        <w:tblLayout w:type="fixed"/>
        <w:tblLook w:firstColumn="1" w:firstRow="1" w:lastColumn="0" w:lastRow="0" w:noHBand="0" w:noVBand="1" w:val="04A0"/>
      </w:tblPr>
      <w:tblGrid>
        <w:gridCol w:w="3742"/>
        <w:gridCol w:w="5896"/>
      </w:tblGrid>
      <w:tr>
        <w:trPr>
          <w:cantSplit/>
          <w:tblHeader/>
        </w:trPr>
        <w:tc>
          <w:tcPr>
            <w:tcW w:type="dxa" w:w="4876"/>
            <w:shd w:fill="EAF0F8"/>
          </w:tcPr>
          <w:p>
            <w:pPr>
              <w:spacing w:after="100" w:before="100"/>
            </w:pPr>
            <w:r>
              <w:rPr>
                <w:b/>
                <w:sz w:val="18"/>
              </w:rPr>
              <w:t>Fichier</w:t>
            </w:r>
          </w:p>
        </w:tc>
        <w:tc>
          <w:tcPr>
            <w:tcW w:type="dxa" w:w="4876"/>
            <w:shd w:fill="EAF0F8"/>
          </w:tcPr>
          <w:p>
            <w:pPr>
              <w:spacing w:after="100" w:before="100"/>
            </w:pPr>
            <w:r>
              <w:rPr>
                <w:b/>
                <w:sz w:val="18"/>
              </w:rPr>
              <w:t>Usage</w:t>
            </w:r>
          </w:p>
        </w:tc>
      </w:tr>
      <w:tr>
        <w:trPr>
          <w:cantSplit/>
        </w:trPr>
        <w:tc>
          <w:tcPr>
            <w:tcW w:type="dxa" w:w="3742"/>
            <w:shd w:fill="FFFFFF"/>
          </w:tcPr>
          <w:p>
            <w:pPr>
              <w:spacing w:after="100" w:before="100"/>
            </w:pPr>
            <w:r>
              <w:rPr>
                <w:b w:val="0"/>
                <w:sz w:val="18"/>
              </w:rPr>
              <w:t>Jeu_groupes_V9.html</w:t>
            </w:r>
          </w:p>
        </w:tc>
        <w:tc>
          <w:tcPr>
            <w:tcW w:type="dxa" w:w="5896"/>
            <w:shd w:fill="FFFFFF"/>
          </w:tcPr>
          <w:p>
            <w:pPr>
              <w:spacing w:after="100" w:before="100"/>
            </w:pPr>
            <w:r>
              <w:rPr>
                <w:b w:val="0"/>
                <w:sz w:val="18"/>
              </w:rPr>
              <w:t>Un fichier par table pour l’inscription, le parcours, les cartes et la synthèse.</w:t>
            </w:r>
          </w:p>
        </w:tc>
      </w:tr>
      <w:tr>
        <w:trPr>
          <w:cantSplit/>
        </w:trPr>
        <w:tc>
          <w:tcPr>
            <w:tcW w:type="dxa" w:w="3742"/>
            <w:shd w:fill="FFFFFF"/>
          </w:tcPr>
          <w:p>
            <w:pPr>
              <w:spacing w:after="100" w:before="100"/>
            </w:pPr>
            <w:r>
              <w:rPr>
                <w:b w:val="0"/>
                <w:sz w:val="18"/>
              </w:rPr>
              <w:t>Animateur_consolidation_V9.html</w:t>
            </w:r>
          </w:p>
        </w:tc>
        <w:tc>
          <w:tcPr>
            <w:tcW w:type="dxa" w:w="5896"/>
            <w:shd w:fill="FFFFFF"/>
          </w:tcPr>
          <w:p>
            <w:pPr>
              <w:spacing w:after="100" w:before="100"/>
            </w:pPr>
            <w:r>
              <w:rPr>
                <w:b w:val="0"/>
                <w:sz w:val="18"/>
              </w:rPr>
              <w:t>Préparation des groupes, réception des JSON, synthèse transversale et génération du PowerPoint.</w:t>
            </w:r>
          </w:p>
        </w:tc>
      </w:tr>
      <w:tr>
        <w:trPr>
          <w:cantSplit/>
        </w:trPr>
        <w:tc>
          <w:tcPr>
            <w:tcW w:type="dxa" w:w="3742"/>
            <w:shd w:fill="FFFFFF"/>
          </w:tcPr>
          <w:p>
            <w:pPr>
              <w:spacing w:after="100" w:before="100"/>
            </w:pPr>
            <w:r>
              <w:rPr>
                <w:b w:val="0"/>
                <w:sz w:val="18"/>
              </w:rPr>
              <w:t>Support_animation_restitution_V9.pptx</w:t>
            </w:r>
          </w:p>
        </w:tc>
        <w:tc>
          <w:tcPr>
            <w:tcW w:type="dxa" w:w="5896"/>
            <w:shd w:fill="FFFFFF"/>
          </w:tcPr>
          <w:p>
            <w:pPr>
              <w:spacing w:after="100" w:before="100"/>
            </w:pPr>
            <w:r>
              <w:rPr>
                <w:b w:val="0"/>
                <w:sz w:val="18"/>
              </w:rPr>
              <w:t>Diaporama de lancement et rubriques modifiables pour la restitution.</w:t>
            </w:r>
          </w:p>
        </w:tc>
      </w:tr>
      <w:tr>
        <w:trPr>
          <w:cantSplit/>
        </w:trPr>
        <w:tc>
          <w:tcPr>
            <w:tcW w:type="dxa" w:w="3742"/>
            <w:shd w:fill="FFFFFF"/>
          </w:tcPr>
          <w:p>
            <w:pPr>
              <w:spacing w:after="100" w:before="100"/>
            </w:pPr>
            <w:r>
              <w:rPr>
                <w:b w:val="0"/>
                <w:sz w:val="18"/>
              </w:rPr>
              <w:t>DEMO_resultats_fictifs_V9.json</w:t>
            </w:r>
          </w:p>
        </w:tc>
        <w:tc>
          <w:tcPr>
            <w:tcW w:type="dxa" w:w="5896"/>
            <w:shd w:fill="FFFFFF"/>
          </w:tcPr>
          <w:p>
            <w:pPr>
              <w:spacing w:after="100" w:before="100"/>
            </w:pPr>
            <w:r>
              <w:rPr>
                <w:b w:val="0"/>
                <w:sz w:val="18"/>
              </w:rPr>
              <w:t>Trois groupes fictifs pour essayer l’import et les exports.</w:t>
            </w:r>
          </w:p>
        </w:tc>
      </w:tr>
      <w:tr>
        <w:trPr>
          <w:cantSplit/>
        </w:trPr>
        <w:tc>
          <w:tcPr>
            <w:tcW w:type="dxa" w:w="3742"/>
            <w:shd w:fill="FFFFFF"/>
          </w:tcPr>
          <w:p>
            <w:pPr>
              <w:spacing w:after="100" w:before="100"/>
            </w:pPr>
            <w:r>
              <w:rPr>
                <w:b w:val="0"/>
                <w:sz w:val="18"/>
              </w:rPr>
              <w:t>Exemple_restitution_fictive_V9.pptx</w:t>
            </w:r>
          </w:p>
        </w:tc>
        <w:tc>
          <w:tcPr>
            <w:tcW w:type="dxa" w:w="5896"/>
            <w:shd w:fill="FFFFFF"/>
          </w:tcPr>
          <w:p>
            <w:pPr>
              <w:spacing w:after="100" w:before="100"/>
            </w:pPr>
            <w:r>
              <w:rPr>
                <w:b w:val="0"/>
                <w:sz w:val="18"/>
              </w:rPr>
              <w:t>Exemple de restitution déjà générée à partir du JSON de démonstration.</w:t>
            </w:r>
          </w:p>
        </w:tc>
      </w:tr>
      <w:tr>
        <w:trPr>
          <w:cantSplit/>
        </w:trPr>
        <w:tc>
          <w:tcPr>
            <w:tcW w:type="dxa" w:w="3742"/>
            <w:shd w:fill="FFFFFF"/>
          </w:tcPr>
          <w:p>
            <w:pPr>
              <w:spacing w:after="100" w:before="100"/>
            </w:pPr>
            <w:r>
              <w:rPr>
                <w:b w:val="0"/>
                <w:sz w:val="18"/>
              </w:rPr>
              <w:t>References/</w:t>
            </w:r>
          </w:p>
        </w:tc>
        <w:tc>
          <w:tcPr>
            <w:tcW w:type="dxa" w:w="5896"/>
            <w:shd w:fill="FFFFFF"/>
          </w:tcPr>
          <w:p>
            <w:pPr>
              <w:spacing w:after="100" w:before="100"/>
            </w:pPr>
            <w:r>
              <w:rPr>
                <w:b w:val="0"/>
                <w:sz w:val="18"/>
              </w:rPr>
              <w:t>Frises avec corrigés dans les notes et annexe descriptive des outils.</w:t>
            </w:r>
          </w:p>
        </w:tc>
      </w:tr>
    </w:tbl>
    <w:p>
      <w:pPr>
        <w:pStyle w:val="Heading2"/>
      </w:pPr>
      <w:r>
        <w:t>Le fonctionnement local</w:t>
      </w:r>
    </w:p>
    <w:p>
      <w:r>
        <w:rPr>
          <w:b w:val="0"/>
        </w:rPr>
        <w:t>Télécharger et décompresser le pack. Ouvrir les fichiers HTML dans Edge, Chrome ou Firefox. Les illustrations, fiches et fonctions d’export sont embarquées. Aucun serveur ni installation ne sont nécessaires.</w:t>
      </w:r>
    </w:p>
    <w:p>
      <w:r>
        <w:rPr>
          <w:b w:val="0"/>
        </w:rPr>
        <w:t>Chaque appareil conserve ses propres saisies. Le fichier JSON sert à reprendre un groupe et à transmettre le travail. Un dossier partagé peut recueillir ces fichiers, sans synchronisation automatique des saisies.</w:t>
      </w:r>
    </w:p>
    <w:p>
      <w:pPr>
        <w:pStyle w:val="Heading2"/>
      </w:pPr>
      <w:r>
        <w:t>Le premier essai</w:t>
      </w:r>
    </w:p>
    <w:p>
      <w:r>
        <w:rPr>
          <w:b w:val="0"/>
        </w:rPr>
        <w:t>Ouvrir l’espace animateur, importer le JSON DEMO et examiner la prévisualisation des groupes. Cocher la reprise de la synthèse de plénière pour voir l’exemple complet. Dans « Restitution et exports », générer le PowerPoint. Retirer les groupes démo avant la séance réelle.</w:t>
      </w:r>
    </w:p>
    <w:p>
      <w:r>
        <w:br w:type="page"/>
      </w:r>
    </w:p>
    <w:p>
      <w:r>
        <w:rPr>
          <w:color w:val="8095AF"/>
          <w:sz w:val="18"/>
        </w:rPr>
        <w:t>ATELIER EXERCICE COORDONNÉ  /  02</w:t>
      </w:r>
    </w:p>
    <w:p>
      <w:pPr>
        <w:pStyle w:val="Heading1"/>
      </w:pPr>
      <w:r>
        <w:t>Les groupes et la préparation</w:t>
      </w:r>
    </w:p>
    <w:p>
      <w:pPr>
        <w:pStyle w:val="Heading2"/>
      </w:pPr>
      <w:r>
        <w:t>Un effectif qui se construit au fil des inscriptions</w:t>
      </w:r>
    </w:p>
    <w:p>
      <w:r>
        <w:rPr>
          <w:b w:val="0"/>
        </w:rPr>
        <w:t>Créer autant de tables que nécessaire dans l’espace animateur. Affecter un parcours et inscrire les personnes au fur et à mesure. Une table peut être préparée avant que les participants soient connus.</w:t>
      </w:r>
    </w:p>
    <w:tbl>
      <w:tblPr>
        <w:tblW w:type="auto" w:w="0"/>
        <w:tblLayout w:type="fixed"/>
        <w:tblLook w:firstColumn="1" w:firstRow="1" w:lastColumn="0" w:lastRow="0" w:noHBand="0" w:noVBand="1" w:val="04A0"/>
      </w:tblPr>
      <w:tblGrid>
        <w:gridCol w:w="1871"/>
        <w:gridCol w:w="7767"/>
      </w:tblGrid>
      <w:tr>
        <w:trPr>
          <w:cantSplit/>
          <w:tblHeader/>
        </w:trPr>
        <w:tc>
          <w:tcPr>
            <w:tcW w:type="dxa" w:w="4876"/>
            <w:shd w:fill="EAF0F8"/>
          </w:tcPr>
          <w:p>
            <w:pPr>
              <w:spacing w:after="100" w:before="100"/>
            </w:pPr>
            <w:r>
              <w:rPr>
                <w:b/>
                <w:sz w:val="18"/>
              </w:rPr>
              <w:t>Point</w:t>
            </w:r>
          </w:p>
        </w:tc>
        <w:tc>
          <w:tcPr>
            <w:tcW w:type="dxa" w:w="4876"/>
            <w:shd w:fill="EAF0F8"/>
          </w:tcPr>
          <w:p>
            <w:pPr>
              <w:spacing w:after="100" w:before="100"/>
            </w:pPr>
            <w:r>
              <w:rPr>
                <w:b/>
                <w:sz w:val="18"/>
              </w:rPr>
              <w:t>Organisation</w:t>
            </w:r>
          </w:p>
        </w:tc>
      </w:tr>
      <w:tr>
        <w:trPr>
          <w:cantSplit/>
        </w:trPr>
        <w:tc>
          <w:tcPr>
            <w:tcW w:type="dxa" w:w="1871"/>
            <w:shd w:fill="FFFFFF"/>
          </w:tcPr>
          <w:p>
            <w:pPr>
              <w:spacing w:after="100" w:before="100"/>
            </w:pPr>
            <w:r>
              <w:rPr>
                <w:b w:val="0"/>
                <w:sz w:val="18"/>
              </w:rPr>
              <w:t>Taille</w:t>
            </w:r>
          </w:p>
        </w:tc>
        <w:tc>
          <w:tcPr>
            <w:tcW w:type="dxa" w:w="7767"/>
            <w:shd w:fill="FFFFFF"/>
          </w:tcPr>
          <w:p>
            <w:pPr>
              <w:spacing w:after="100" w:before="100"/>
            </w:pPr>
            <w:r>
              <w:rPr>
                <w:b w:val="0"/>
                <w:sz w:val="18"/>
              </w:rPr>
              <w:t>Cible de 5 à 7 personnes, maximum de 10 par table.</w:t>
            </w:r>
          </w:p>
        </w:tc>
      </w:tr>
      <w:tr>
        <w:trPr>
          <w:cantSplit/>
        </w:trPr>
        <w:tc>
          <w:tcPr>
            <w:tcW w:type="dxa" w:w="1871"/>
            <w:shd w:fill="FFFFFF"/>
          </w:tcPr>
          <w:p>
            <w:pPr>
              <w:spacing w:after="100" w:before="100"/>
            </w:pPr>
            <w:r>
              <w:rPr>
                <w:b w:val="0"/>
                <w:sz w:val="18"/>
              </w:rPr>
              <w:t>Structures</w:t>
            </w:r>
          </w:p>
        </w:tc>
        <w:tc>
          <w:tcPr>
            <w:tcW w:type="dxa" w:w="7767"/>
            <w:shd w:fill="FFFFFF"/>
          </w:tcPr>
          <w:p>
            <w:pPr>
              <w:spacing w:after="100" w:before="100"/>
            </w:pPr>
            <w:r>
              <w:rPr>
                <w:b w:val="0"/>
                <w:sz w:val="18"/>
              </w:rPr>
              <w:t>CPAM, ARS et SESAN mélangés autant que possible.</w:t>
            </w:r>
          </w:p>
        </w:tc>
      </w:tr>
      <w:tr>
        <w:trPr>
          <w:cantSplit/>
        </w:trPr>
        <w:tc>
          <w:tcPr>
            <w:tcW w:type="dxa" w:w="1871"/>
            <w:shd w:fill="FFFFFF"/>
          </w:tcPr>
          <w:p>
            <w:pPr>
              <w:spacing w:after="100" w:before="100"/>
            </w:pPr>
            <w:r>
              <w:rPr>
                <w:b w:val="0"/>
                <w:sz w:val="18"/>
              </w:rPr>
              <w:t>Territoire</w:t>
            </w:r>
          </w:p>
        </w:tc>
        <w:tc>
          <w:tcPr>
            <w:tcW w:type="dxa" w:w="7767"/>
            <w:shd w:fill="FFFFFF"/>
          </w:tcPr>
          <w:p>
            <w:pPr>
              <w:spacing w:after="100" w:before="100"/>
            </w:pPr>
            <w:r>
              <w:rPr>
                <w:b w:val="0"/>
                <w:sz w:val="18"/>
              </w:rPr>
              <w:t>Même département privilégié pour préparer une action commune.</w:t>
            </w:r>
          </w:p>
        </w:tc>
      </w:tr>
      <w:tr>
        <w:trPr>
          <w:cantSplit/>
        </w:trPr>
        <w:tc>
          <w:tcPr>
            <w:tcW w:type="dxa" w:w="1871"/>
            <w:shd w:fill="FFFFFF"/>
          </w:tcPr>
          <w:p>
            <w:pPr>
              <w:spacing w:after="100" w:before="100"/>
            </w:pPr>
            <w:r>
              <w:rPr>
                <w:b w:val="0"/>
                <w:sz w:val="18"/>
              </w:rPr>
              <w:t>Expérience</w:t>
            </w:r>
          </w:p>
        </w:tc>
        <w:tc>
          <w:tcPr>
            <w:tcW w:type="dxa" w:w="7767"/>
            <w:shd w:fill="FFFFFF"/>
          </w:tcPr>
          <w:p>
            <w:pPr>
              <w:spacing w:after="100" w:before="100"/>
            </w:pPr>
            <w:r>
              <w:rPr>
                <w:b w:val="0"/>
                <w:sz w:val="18"/>
              </w:rPr>
              <w:t>Répartir les niveaux numériques et l’expérience CPTS, MSP et CDS.</w:t>
            </w:r>
          </w:p>
        </w:tc>
      </w:tr>
      <w:tr>
        <w:trPr>
          <w:cantSplit/>
        </w:trPr>
        <w:tc>
          <w:tcPr>
            <w:tcW w:type="dxa" w:w="1871"/>
            <w:shd w:fill="FFFFFF"/>
          </w:tcPr>
          <w:p>
            <w:pPr>
              <w:spacing w:after="100" w:before="100"/>
            </w:pPr>
            <w:r>
              <w:rPr>
                <w:b w:val="0"/>
                <w:sz w:val="18"/>
              </w:rPr>
              <w:t>Animation</w:t>
            </w:r>
          </w:p>
        </w:tc>
        <w:tc>
          <w:tcPr>
            <w:tcW w:type="dxa" w:w="7767"/>
            <w:shd w:fill="FFFFFF"/>
          </w:tcPr>
          <w:p>
            <w:pPr>
              <w:spacing w:after="100" w:before="100"/>
            </w:pPr>
            <w:r>
              <w:rPr>
                <w:b w:val="0"/>
                <w:sz w:val="18"/>
              </w:rPr>
              <w:t>Un animateur par table si possible, sinon un pour deux tables.</w:t>
            </w:r>
          </w:p>
        </w:tc>
      </w:tr>
      <w:tr>
        <w:trPr>
          <w:cantSplit/>
        </w:trPr>
        <w:tc>
          <w:tcPr>
            <w:tcW w:type="dxa" w:w="1871"/>
            <w:shd w:fill="FFFFFF"/>
          </w:tcPr>
          <w:p>
            <w:pPr>
              <w:spacing w:after="100" w:before="100"/>
            </w:pPr>
            <w:r>
              <w:rPr>
                <w:b w:val="0"/>
                <w:sz w:val="18"/>
              </w:rPr>
              <w:t>Rôles</w:t>
            </w:r>
          </w:p>
        </w:tc>
        <w:tc>
          <w:tcPr>
            <w:tcW w:type="dxa" w:w="7767"/>
            <w:shd w:fill="FFFFFF"/>
          </w:tcPr>
          <w:p>
            <w:pPr>
              <w:spacing w:after="100" w:before="100"/>
            </w:pPr>
            <w:r>
              <w:rPr>
                <w:b w:val="0"/>
                <w:sz w:val="18"/>
              </w:rPr>
              <w:t>Une personne saisit, une rapporte, une suit le temps. Les rôles peuvent être cumulés.</w:t>
            </w:r>
          </w:p>
        </w:tc>
      </w:tr>
    </w:tbl>
    <w:p>
      <w:pPr>
        <w:pStyle w:val="Heading2"/>
      </w:pPr>
      <w:r>
        <w:t>Préparer les postes</w:t>
      </w:r>
    </w:p>
    <w:p>
      <w:r>
        <w:rPr>
          <w:b w:val="0"/>
        </w:rPr>
        <w:t>Prévoir un ordinateur par table, un écran visible par tous, l’alimentation électrique et un moyen de transmettre les JSON. Tester l’ouverture du jeu, un téléchargement et l’ouverture d’un PPTX sur les postes utilisés.</w:t>
      </w:r>
    </w:p>
    <w:p>
      <w:r>
        <w:rPr>
          <w:b w:val="0"/>
        </w:rPr>
        <w:t>Dans l’espace animateur, saisir l’intitulé de la séance, sa date et le courriel de réception. Exporter les groupes préparés. Le fichier de démarrage par groupe conserve uniquement les inscriptions et affectations, sans les réponses du jeu.</w:t>
      </w:r>
    </w:p>
    <w:p>
      <w:pPr>
        <w:pStyle w:val="Heading2"/>
      </w:pPr>
      <w:r>
        <w:t>Choisir les parcours</w:t>
      </w:r>
    </w:p>
    <w:p>
      <w:r>
        <w:rPr>
          <w:b w:val="0"/>
        </w:rPr>
        <w:t>Emilie : périnatalité. Monique : personne âgée et maintien à domicile. Philippe : diabète et prévention. Répartir les parcours entre les tables pour couvrir les trois situations. Plusieurs tables peuvent travailler le même parcours pour comparer leurs propositions.</w:t>
      </w:r>
    </w:p>
    <w:p>
      <w:pPr>
        <w:pStyle w:val="Heading2"/>
      </w:pPr>
      <w:r>
        <w:t>Préparer les animateurs</w:t>
      </w:r>
    </w:p>
    <w:p>
      <w:r>
        <w:rPr>
          <w:b w:val="0"/>
        </w:rPr>
        <w:t>Lire les frises et leurs notes corrigées. Repérer les questions de relance et les points à confirmer dans l’annexe. Recueillir quelques verbatims de professionnels avant la journée, pour nourrir les échanges en leur absence.</w:t>
      </w:r>
    </w:p>
    <w:p>
      <w:r>
        <w:br w:type="page"/>
      </w:r>
    </w:p>
    <w:p>
      <w:r>
        <w:rPr>
          <w:color w:val="8095AF"/>
          <w:sz w:val="18"/>
        </w:rPr>
        <w:t>ATELIER EXERCICE COORDONNÉ  /  03</w:t>
      </w:r>
    </w:p>
    <w:p>
      <w:pPr>
        <w:pStyle w:val="Heading1"/>
      </w:pPr>
      <w:r>
        <w:t>Le conducteur en 2 h 30</w:t>
      </w:r>
    </w:p>
    <w:p>
      <w:r>
        <w:rPr>
          <w:b w:val="0"/>
        </w:rPr>
        <w:t>Le conducteur conserve les blocs des règles : 45 minutes de jeu, 45 minutes de restitution dans le groupe et une heure de plénière. Prévoir l’installation et le briefing avant le démarrage du créneau.</w:t>
      </w:r>
    </w:p>
    <w:tbl>
      <w:tblPr>
        <w:tblW w:type="auto" w:w="0"/>
        <w:tblLayout w:type="fixed"/>
        <w:tblLook w:firstColumn="1" w:firstRow="1" w:lastColumn="0" w:lastRow="0" w:noHBand="0" w:noVBand="1" w:val="04A0"/>
      </w:tblPr>
      <w:tblGrid>
        <w:gridCol w:w="1701"/>
        <w:gridCol w:w="1191"/>
        <w:gridCol w:w="6746"/>
      </w:tblGrid>
      <w:tr>
        <w:trPr>
          <w:cantSplit/>
          <w:tblHeader/>
        </w:trPr>
        <w:tc>
          <w:tcPr>
            <w:tcW w:type="dxa" w:w="3251"/>
            <w:shd w:fill="EAF0F8"/>
          </w:tcPr>
          <w:p>
            <w:pPr>
              <w:spacing w:after="100" w:before="100"/>
            </w:pPr>
            <w:r>
              <w:rPr>
                <w:b/>
                <w:sz w:val="18"/>
              </w:rPr>
              <w:t>Repère</w:t>
            </w:r>
          </w:p>
        </w:tc>
        <w:tc>
          <w:tcPr>
            <w:tcW w:type="dxa" w:w="3251"/>
            <w:shd w:fill="EAF0F8"/>
          </w:tcPr>
          <w:p>
            <w:pPr>
              <w:spacing w:after="100" w:before="100"/>
            </w:pPr>
            <w:r>
              <w:rPr>
                <w:b/>
                <w:sz w:val="18"/>
              </w:rPr>
              <w:t>Durée</w:t>
            </w:r>
          </w:p>
        </w:tc>
        <w:tc>
          <w:tcPr>
            <w:tcW w:type="dxa" w:w="3251"/>
            <w:shd w:fill="EAF0F8"/>
          </w:tcPr>
          <w:p>
            <w:pPr>
              <w:spacing w:after="100" w:before="100"/>
            </w:pPr>
            <w:r>
              <w:rPr>
                <w:b/>
                <w:sz w:val="18"/>
              </w:rPr>
              <w:t>Animation et résultat attendu</w:t>
            </w:r>
          </w:p>
        </w:tc>
      </w:tr>
      <w:tr>
        <w:trPr>
          <w:cantSplit/>
        </w:trPr>
        <w:tc>
          <w:tcPr>
            <w:tcW w:type="dxa" w:w="1701"/>
            <w:shd w:fill="FFFFFF"/>
          </w:tcPr>
          <w:p>
            <w:pPr>
              <w:spacing w:after="100" w:before="100"/>
            </w:pPr>
            <w:r>
              <w:rPr>
                <w:b w:val="0"/>
                <w:sz w:val="18"/>
              </w:rPr>
              <w:t>Avant T0</w:t>
            </w:r>
          </w:p>
        </w:tc>
        <w:tc>
          <w:tcPr>
            <w:tcW w:type="dxa" w:w="1191"/>
            <w:shd w:fill="FFFFFF"/>
          </w:tcPr>
          <w:p>
            <w:pPr>
              <w:spacing w:after="100" w:before="100"/>
            </w:pPr>
            <w:r>
              <w:rPr>
                <w:b w:val="0"/>
                <w:sz w:val="18"/>
              </w:rPr>
              <w:t>10 à 15 min</w:t>
            </w:r>
          </w:p>
        </w:tc>
        <w:tc>
          <w:tcPr>
            <w:tcW w:type="dxa" w:w="6746"/>
            <w:shd w:fill="FFFFFF"/>
          </w:tcPr>
          <w:p>
            <w:pPr>
              <w:spacing w:after="100" w:before="100"/>
            </w:pPr>
            <w:r>
              <w:rPr>
                <w:b w:val="0"/>
                <w:sz w:val="18"/>
              </w:rPr>
              <w:t>Installation, inscription, parcours attribué, personae et consignes. Le compteur reste à l’arrêt.</w:t>
            </w:r>
          </w:p>
        </w:tc>
      </w:tr>
      <w:tr>
        <w:trPr>
          <w:cantSplit/>
        </w:trPr>
        <w:tc>
          <w:tcPr>
            <w:tcW w:type="dxa" w:w="1701"/>
            <w:shd w:fill="FFFFFF"/>
          </w:tcPr>
          <w:p>
            <w:pPr>
              <w:spacing w:after="100" w:before="100"/>
            </w:pPr>
            <w:r>
              <w:rPr>
                <w:b w:val="0"/>
                <w:sz w:val="18"/>
              </w:rPr>
              <w:t>00:00 à 00:45</w:t>
            </w:r>
          </w:p>
        </w:tc>
        <w:tc>
          <w:tcPr>
            <w:tcW w:type="dxa" w:w="1191"/>
            <w:shd w:fill="FFFFFF"/>
          </w:tcPr>
          <w:p>
            <w:pPr>
              <w:spacing w:after="100" w:before="100"/>
            </w:pPr>
            <w:r>
              <w:rPr>
                <w:b w:val="0"/>
                <w:sz w:val="18"/>
              </w:rPr>
              <w:t>45 min</w:t>
            </w:r>
          </w:p>
        </w:tc>
        <w:tc>
          <w:tcPr>
            <w:tcW w:type="dxa" w:w="6746"/>
            <w:shd w:fill="FFFFFF"/>
          </w:tcPr>
          <w:p>
            <w:pPr>
              <w:spacing w:after="100" w:before="100"/>
            </w:pPr>
            <w:r>
              <w:rPr>
                <w:b w:val="0"/>
                <w:sz w:val="18"/>
              </w:rPr>
              <w:t>Jeu. Compléter les moments clés, justifier les cartes, traiter au moins deux irritants et noter les échanges.</w:t>
            </w:r>
          </w:p>
        </w:tc>
      </w:tr>
      <w:tr>
        <w:trPr>
          <w:cantSplit/>
        </w:trPr>
        <w:tc>
          <w:tcPr>
            <w:tcW w:type="dxa" w:w="1701"/>
            <w:shd w:fill="FFFFFF"/>
          </w:tcPr>
          <w:p>
            <w:pPr>
              <w:spacing w:after="100" w:before="100"/>
            </w:pPr>
            <w:r>
              <w:rPr>
                <w:b w:val="0"/>
                <w:sz w:val="18"/>
              </w:rPr>
              <w:t>00:45 à 01:25</w:t>
            </w:r>
          </w:p>
        </w:tc>
        <w:tc>
          <w:tcPr>
            <w:tcW w:type="dxa" w:w="1191"/>
            <w:shd w:fill="FFFFFF"/>
          </w:tcPr>
          <w:p>
            <w:pPr>
              <w:spacing w:after="100" w:before="100"/>
            </w:pPr>
            <w:r>
              <w:rPr>
                <w:b w:val="0"/>
                <w:sz w:val="18"/>
              </w:rPr>
              <w:t>40 min</w:t>
            </w:r>
          </w:p>
        </w:tc>
        <w:tc>
          <w:tcPr>
            <w:tcW w:type="dxa" w:w="6746"/>
            <w:shd w:fill="FFFFFF"/>
          </w:tcPr>
          <w:p>
            <w:pPr>
              <w:spacing w:after="100" w:before="100"/>
            </w:pPr>
            <w:r>
              <w:rPr>
                <w:b w:val="0"/>
                <w:sz w:val="18"/>
              </w:rPr>
              <w:t>Synthèse du groupe. Retenir les éléments de langage, désaccords, questions et une démarche d’aller-vers.</w:t>
            </w:r>
          </w:p>
        </w:tc>
      </w:tr>
      <w:tr>
        <w:trPr>
          <w:cantSplit/>
        </w:trPr>
        <w:tc>
          <w:tcPr>
            <w:tcW w:type="dxa" w:w="1701"/>
            <w:shd w:fill="FFFFFF"/>
          </w:tcPr>
          <w:p>
            <w:pPr>
              <w:spacing w:after="100" w:before="100"/>
            </w:pPr>
            <w:r>
              <w:rPr>
                <w:b w:val="0"/>
                <w:sz w:val="18"/>
              </w:rPr>
              <w:t>01:25 à 01:30</w:t>
            </w:r>
          </w:p>
        </w:tc>
        <w:tc>
          <w:tcPr>
            <w:tcW w:type="dxa" w:w="1191"/>
            <w:shd w:fill="FFFFFF"/>
          </w:tcPr>
          <w:p>
            <w:pPr>
              <w:spacing w:after="100" w:before="100"/>
            </w:pPr>
            <w:r>
              <w:rPr>
                <w:b w:val="0"/>
                <w:sz w:val="18"/>
              </w:rPr>
              <w:t>5 min</w:t>
            </w:r>
          </w:p>
        </w:tc>
        <w:tc>
          <w:tcPr>
            <w:tcW w:type="dxa" w:w="6746"/>
            <w:shd w:fill="FFFFFF"/>
          </w:tcPr>
          <w:p>
            <w:pPr>
              <w:spacing w:after="100" w:before="100"/>
            </w:pPr>
            <w:r>
              <w:rPr>
                <w:b w:val="0"/>
                <w:sz w:val="18"/>
              </w:rPr>
              <w:t>Télécharger le JSON et le transmettre. L’animateur vérifie sa réception et prépare l’import.</w:t>
            </w:r>
          </w:p>
        </w:tc>
      </w:tr>
      <w:tr>
        <w:trPr>
          <w:cantSplit/>
        </w:trPr>
        <w:tc>
          <w:tcPr>
            <w:tcW w:type="dxa" w:w="1701"/>
            <w:shd w:fill="FFFFFF"/>
          </w:tcPr>
          <w:p>
            <w:pPr>
              <w:spacing w:after="100" w:before="100"/>
            </w:pPr>
            <w:r>
              <w:rPr>
                <w:b w:val="0"/>
                <w:sz w:val="18"/>
              </w:rPr>
              <w:t>01:30 à 02:20</w:t>
            </w:r>
          </w:p>
        </w:tc>
        <w:tc>
          <w:tcPr>
            <w:tcW w:type="dxa" w:w="1191"/>
            <w:shd w:fill="FFFFFF"/>
          </w:tcPr>
          <w:p>
            <w:pPr>
              <w:spacing w:after="100" w:before="100"/>
            </w:pPr>
            <w:r>
              <w:rPr>
                <w:b w:val="0"/>
                <w:sz w:val="18"/>
              </w:rPr>
              <w:t>50 min</w:t>
            </w:r>
          </w:p>
        </w:tc>
        <w:tc>
          <w:tcPr>
            <w:tcW w:type="dxa" w:w="6746"/>
            <w:shd w:fill="FFFFFF"/>
          </w:tcPr>
          <w:p>
            <w:pPr>
              <w:spacing w:after="100" w:before="100"/>
            </w:pPr>
            <w:r>
              <w:rPr>
                <w:b w:val="0"/>
                <w:sz w:val="18"/>
              </w:rPr>
              <w:t>Restitution des tables. Jusqu’à dix groupes à cinq minutes, transitions comprises.</w:t>
            </w:r>
          </w:p>
        </w:tc>
      </w:tr>
      <w:tr>
        <w:trPr>
          <w:cantSplit/>
        </w:trPr>
        <w:tc>
          <w:tcPr>
            <w:tcW w:type="dxa" w:w="1701"/>
            <w:shd w:fill="FFFFFF"/>
          </w:tcPr>
          <w:p>
            <w:pPr>
              <w:spacing w:after="100" w:before="100"/>
            </w:pPr>
            <w:r>
              <w:rPr>
                <w:b w:val="0"/>
                <w:sz w:val="18"/>
              </w:rPr>
              <w:t>02:20 à 02:30</w:t>
            </w:r>
          </w:p>
        </w:tc>
        <w:tc>
          <w:tcPr>
            <w:tcW w:type="dxa" w:w="1191"/>
            <w:shd w:fill="FFFFFF"/>
          </w:tcPr>
          <w:p>
            <w:pPr>
              <w:spacing w:after="100" w:before="100"/>
            </w:pPr>
            <w:r>
              <w:rPr>
                <w:b w:val="0"/>
                <w:sz w:val="18"/>
              </w:rPr>
              <w:t>10 min</w:t>
            </w:r>
          </w:p>
        </w:tc>
        <w:tc>
          <w:tcPr>
            <w:tcW w:type="dxa" w:w="6746"/>
            <w:shd w:fill="FFFFFF"/>
          </w:tcPr>
          <w:p>
            <w:pPr>
              <w:spacing w:after="100" w:before="100"/>
            </w:pPr>
            <w:r>
              <w:rPr>
                <w:b w:val="0"/>
                <w:sz w:val="18"/>
              </w:rPr>
              <w:t>Synthèse commune. Valider les consensus, désigner les pilotes et fixer le suivi.</w:t>
            </w:r>
          </w:p>
        </w:tc>
      </w:tr>
    </w:tbl>
    <w:p>
      <w:pPr>
        <w:pStyle w:val="Heading2"/>
      </w:pPr>
      <w:r>
        <w:t>Adapter la plénière au nombre de groupes</w:t>
      </w:r>
    </w:p>
    <w:tbl>
      <w:tblPr>
        <w:tblW w:type="auto" w:w="0"/>
        <w:tblLayout w:type="fixed"/>
        <w:tblLook w:firstColumn="1" w:firstRow="1" w:lastColumn="0" w:lastRow="0" w:noHBand="0" w:noVBand="1" w:val="04A0"/>
      </w:tblPr>
      <w:tblGrid>
        <w:gridCol w:w="1871"/>
        <w:gridCol w:w="7767"/>
      </w:tblGrid>
      <w:tr>
        <w:trPr>
          <w:cantSplit/>
          <w:tblHeader/>
        </w:trPr>
        <w:tc>
          <w:tcPr>
            <w:tcW w:type="dxa" w:w="4876"/>
            <w:shd w:fill="EAF0F8"/>
          </w:tcPr>
          <w:p>
            <w:pPr>
              <w:spacing w:after="100" w:before="100"/>
            </w:pPr>
            <w:r>
              <w:rPr>
                <w:b/>
                <w:sz w:val="18"/>
              </w:rPr>
              <w:t>Nombre de groupes</w:t>
            </w:r>
          </w:p>
        </w:tc>
        <w:tc>
          <w:tcPr>
            <w:tcW w:type="dxa" w:w="4876"/>
            <w:shd w:fill="EAF0F8"/>
          </w:tcPr>
          <w:p>
            <w:pPr>
              <w:spacing w:after="100" w:before="100"/>
            </w:pPr>
            <w:r>
              <w:rPr>
                <w:b/>
                <w:sz w:val="18"/>
              </w:rPr>
              <w:t>Organisation proposée</w:t>
            </w:r>
          </w:p>
        </w:tc>
      </w:tr>
      <w:tr>
        <w:trPr>
          <w:cantSplit/>
        </w:trPr>
        <w:tc>
          <w:tcPr>
            <w:tcW w:type="dxa" w:w="1871"/>
            <w:shd w:fill="FFFFFF"/>
          </w:tcPr>
          <w:p>
            <w:pPr>
              <w:spacing w:after="100" w:before="100"/>
            </w:pPr>
            <w:r>
              <w:rPr>
                <w:b w:val="0"/>
                <w:sz w:val="18"/>
              </w:rPr>
              <w:t>1 à 6</w:t>
            </w:r>
          </w:p>
        </w:tc>
        <w:tc>
          <w:tcPr>
            <w:tcW w:type="dxa" w:w="7767"/>
            <w:shd w:fill="FFFFFF"/>
          </w:tcPr>
          <w:p>
            <w:pPr>
              <w:spacing w:after="100" w:before="100"/>
            </w:pPr>
            <w:r>
              <w:rPr>
                <w:b w:val="0"/>
                <w:sz w:val="18"/>
              </w:rPr>
              <w:t>Cinq minutes par groupe. Utiliser le temps disponible pour comparer les points ouverts et tester les éléments de langage.</w:t>
            </w:r>
          </w:p>
        </w:tc>
      </w:tr>
      <w:tr>
        <w:trPr>
          <w:cantSplit/>
        </w:trPr>
        <w:tc>
          <w:tcPr>
            <w:tcW w:type="dxa" w:w="1871"/>
            <w:shd w:fill="FFFFFF"/>
          </w:tcPr>
          <w:p>
            <w:pPr>
              <w:spacing w:after="100" w:before="100"/>
            </w:pPr>
            <w:r>
              <w:rPr>
                <w:b w:val="0"/>
                <w:sz w:val="18"/>
              </w:rPr>
              <w:t>7 à 10</w:t>
            </w:r>
          </w:p>
        </w:tc>
        <w:tc>
          <w:tcPr>
            <w:tcW w:type="dxa" w:w="7767"/>
            <w:shd w:fill="FFFFFF"/>
          </w:tcPr>
          <w:p>
            <w:pPr>
              <w:spacing w:after="100" w:before="100"/>
            </w:pPr>
            <w:r>
              <w:rPr>
                <w:b w:val="0"/>
                <w:sz w:val="18"/>
              </w:rPr>
              <w:t>Cinq minutes par groupe, transitions comprises. Chronométrer les prises de parole.</w:t>
            </w:r>
          </w:p>
        </w:tc>
      </w:tr>
      <w:tr>
        <w:trPr>
          <w:cantSplit/>
        </w:trPr>
        <w:tc>
          <w:tcPr>
            <w:tcW w:type="dxa" w:w="1871"/>
            <w:shd w:fill="FFFFFF"/>
          </w:tcPr>
          <w:p>
            <w:pPr>
              <w:spacing w:after="100" w:before="100"/>
            </w:pPr>
            <w:r>
              <w:rPr>
                <w:b w:val="0"/>
                <w:sz w:val="18"/>
              </w:rPr>
              <w:t>11 à 16</w:t>
            </w:r>
          </w:p>
        </w:tc>
        <w:tc>
          <w:tcPr>
            <w:tcW w:type="dxa" w:w="7767"/>
            <w:shd w:fill="FFFFFF"/>
          </w:tcPr>
          <w:p>
            <w:pPr>
              <w:spacing w:after="100" w:before="100"/>
            </w:pPr>
            <w:r>
              <w:rPr>
                <w:b w:val="0"/>
                <w:sz w:val="18"/>
              </w:rPr>
              <w:t>Trois minutes par groupe et contributions écrites complètes dans les fichiers. Annoncer le format bref dès le départ.</w:t>
            </w:r>
          </w:p>
        </w:tc>
      </w:tr>
      <w:tr>
        <w:trPr>
          <w:cantSplit/>
        </w:trPr>
        <w:tc>
          <w:tcPr>
            <w:tcW w:type="dxa" w:w="1871"/>
            <w:shd w:fill="FFFFFF"/>
          </w:tcPr>
          <w:p>
            <w:pPr>
              <w:spacing w:after="100" w:before="100"/>
            </w:pPr>
            <w:r>
              <w:rPr>
                <w:b w:val="0"/>
                <w:sz w:val="18"/>
              </w:rPr>
              <w:t>Plus de 16</w:t>
            </w:r>
          </w:p>
        </w:tc>
        <w:tc>
          <w:tcPr>
            <w:tcW w:type="dxa" w:w="7767"/>
            <w:shd w:fill="FFFFFF"/>
          </w:tcPr>
          <w:p>
            <w:pPr>
              <w:spacing w:after="100" w:before="100"/>
            </w:pPr>
            <w:r>
              <w:rPr>
                <w:b w:val="0"/>
                <w:sz w:val="18"/>
              </w:rPr>
              <w:t>Prévoir deux plénières en parallèle avec des animateurs dédiés, ou prolonger le créneau. Tous les groupes gardent leur contribution dans la consolidation.</w:t>
            </w:r>
          </w:p>
        </w:tc>
      </w:tr>
    </w:tbl>
    <w:p>
      <w:r>
        <w:rPr>
          <w:b w:val="0"/>
        </w:rPr>
        <w:t>Si l’accueil doit tenir dans les 2 h 30, réserver 10 minutes à l’installation, garder les deux blocs de 45 minutes et limiter la plénière à 50 minutes. Adapter le nombre de prises de parole en conséquence.</w:t>
      </w:r>
    </w:p>
    <w:p>
      <w:r>
        <w:br w:type="page"/>
      </w:r>
    </w:p>
    <w:p>
      <w:r>
        <w:rPr>
          <w:color w:val="8095AF"/>
          <w:sz w:val="18"/>
        </w:rPr>
        <w:t>ATELIER EXERCICE COORDONNÉ  /  04</w:t>
      </w:r>
    </w:p>
    <w:p>
      <w:pPr>
        <w:pStyle w:val="Heading1"/>
      </w:pPr>
      <w:r>
        <w:t>Le lancement et les 45 minutes de jeu</w:t>
      </w:r>
    </w:p>
    <w:p>
      <w:pPr>
        <w:pStyle w:val="Heading2"/>
      </w:pPr>
      <w:r>
        <w:t>La consigne à lire au groupe</w:t>
      </w:r>
    </w:p>
    <w:p>
      <w:r>
        <w:rPr>
          <w:b w:val="0"/>
        </w:rPr>
        <w:t>« Vous accompagnez les acteurs du territoire. À partir de la situation du patient, identifiez qui doit agir et quels services numériques peuvent aider. Vous pouvez choisir plusieurs cartes si vous justifiez leur intérêt. Les repères racontent le parcours. Les zones roses sont les moments à compléter. »</w:t>
      </w:r>
    </w:p>
    <w:p>
      <w:r>
        <w:rPr>
          <w:b w:val="0"/>
        </w:rPr>
        <w:t>« Placez au moins deux irritants et formulez pour chacun la réponse que vous feriez au professionnel. Gardez les freins, leviers et éléments de langage. Notez aussi vos désaccords et les questions à vérifier. Votre restitution se termine par une action concrète à proposer à une CPTS, une MSP ou un centre de santé. »</w:t>
      </w:r>
    </w:p>
    <w:p>
      <w:pPr>
        <w:pStyle w:val="Heading2"/>
      </w:pPr>
      <w:r>
        <w:t>Des repères pendant le jeu</w:t>
      </w:r>
    </w:p>
    <w:tbl>
      <w:tblPr>
        <w:tblW w:type="auto" w:w="0"/>
        <w:tblLayout w:type="fixed"/>
        <w:tblLook w:firstColumn="1" w:firstRow="1" w:lastColumn="0" w:lastRow="0" w:noHBand="0" w:noVBand="1" w:val="04A0"/>
      </w:tblPr>
      <w:tblGrid>
        <w:gridCol w:w="1757"/>
        <w:gridCol w:w="7880"/>
      </w:tblGrid>
      <w:tr>
        <w:trPr>
          <w:cantSplit/>
          <w:tblHeader/>
        </w:trPr>
        <w:tc>
          <w:tcPr>
            <w:tcW w:type="dxa" w:w="4876"/>
            <w:shd w:fill="EAF0F8"/>
          </w:tcPr>
          <w:p>
            <w:pPr>
              <w:spacing w:after="100" w:before="100"/>
            </w:pPr>
            <w:r>
              <w:rPr>
                <w:b/>
                <w:sz w:val="18"/>
              </w:rPr>
              <w:t>Dans les 45 min</w:t>
            </w:r>
          </w:p>
        </w:tc>
        <w:tc>
          <w:tcPr>
            <w:tcW w:type="dxa" w:w="4876"/>
            <w:shd w:fill="EAF0F8"/>
          </w:tcPr>
          <w:p>
            <w:pPr>
              <w:spacing w:after="100" w:before="100"/>
            </w:pPr>
            <w:r>
              <w:rPr>
                <w:b/>
                <w:sz w:val="18"/>
              </w:rPr>
              <w:t>Intervention de l’animateur</w:t>
            </w:r>
          </w:p>
        </w:tc>
      </w:tr>
      <w:tr>
        <w:trPr>
          <w:cantSplit/>
        </w:trPr>
        <w:tc>
          <w:tcPr>
            <w:tcW w:type="dxa" w:w="1757"/>
            <w:shd w:fill="FFFFFF"/>
          </w:tcPr>
          <w:p>
            <w:pPr>
              <w:spacing w:after="100" w:before="100"/>
            </w:pPr>
            <w:r>
              <w:rPr>
                <w:b w:val="0"/>
                <w:sz w:val="18"/>
              </w:rPr>
              <w:t>0 à 5 min</w:t>
            </w:r>
          </w:p>
        </w:tc>
        <w:tc>
          <w:tcPr>
            <w:tcW w:type="dxa" w:w="7880"/>
            <w:shd w:fill="FFFFFF"/>
          </w:tcPr>
          <w:p>
            <w:pPr>
              <w:spacing w:after="100" w:before="100"/>
            </w:pPr>
            <w:r>
              <w:rPr>
                <w:b w:val="0"/>
                <w:sz w:val="18"/>
              </w:rPr>
              <w:t>Faire repérer les moments clés et répartir la parole. Démarrer le timer quand les groupes commencent.</w:t>
            </w:r>
          </w:p>
        </w:tc>
      </w:tr>
      <w:tr>
        <w:trPr>
          <w:cantSplit/>
        </w:trPr>
        <w:tc>
          <w:tcPr>
            <w:tcW w:type="dxa" w:w="1757"/>
            <w:shd w:fill="FFFFFF"/>
          </w:tcPr>
          <w:p>
            <w:pPr>
              <w:spacing w:after="100" w:before="100"/>
            </w:pPr>
            <w:r>
              <w:rPr>
                <w:b w:val="0"/>
                <w:sz w:val="18"/>
              </w:rPr>
              <w:t>5 à 30 min</w:t>
            </w:r>
          </w:p>
        </w:tc>
        <w:tc>
          <w:tcPr>
            <w:tcW w:type="dxa" w:w="7880"/>
            <w:shd w:fill="FFFFFF"/>
          </w:tcPr>
          <w:p>
            <w:pPr>
              <w:spacing w:after="100" w:before="100"/>
            </w:pPr>
            <w:r>
              <w:rPr>
                <w:b w:val="0"/>
                <w:sz w:val="18"/>
              </w:rPr>
              <w:t>Faire avancer les choix « Qui ? » et « Outils ? ». Demander la justification avant de passer à la scène suivante.</w:t>
            </w:r>
          </w:p>
        </w:tc>
      </w:tr>
      <w:tr>
        <w:trPr>
          <w:cantSplit/>
        </w:trPr>
        <w:tc>
          <w:tcPr>
            <w:tcW w:type="dxa" w:w="1757"/>
            <w:shd w:fill="FFFFFF"/>
          </w:tcPr>
          <w:p>
            <w:pPr>
              <w:spacing w:after="100" w:before="100"/>
            </w:pPr>
            <w:r>
              <w:rPr>
                <w:b w:val="0"/>
                <w:sz w:val="18"/>
              </w:rPr>
              <w:t>30 à 40 min</w:t>
            </w:r>
          </w:p>
        </w:tc>
        <w:tc>
          <w:tcPr>
            <w:tcW w:type="dxa" w:w="7880"/>
            <w:shd w:fill="FFFFFF"/>
          </w:tcPr>
          <w:p>
            <w:pPr>
              <w:spacing w:after="100" w:before="100"/>
            </w:pPr>
            <w:r>
              <w:rPr>
                <w:b w:val="0"/>
                <w:sz w:val="18"/>
              </w:rPr>
              <w:t>Vérifier les deux irritants, leurs réponses et les éléments de langage. Ajouter les appréciations par étoiles.</w:t>
            </w:r>
          </w:p>
        </w:tc>
      </w:tr>
      <w:tr>
        <w:trPr>
          <w:cantSplit/>
        </w:trPr>
        <w:tc>
          <w:tcPr>
            <w:tcW w:type="dxa" w:w="1757"/>
            <w:shd w:fill="FFFFFF"/>
          </w:tcPr>
          <w:p>
            <w:pPr>
              <w:spacing w:after="100" w:before="100"/>
            </w:pPr>
            <w:r>
              <w:rPr>
                <w:b w:val="0"/>
                <w:sz w:val="18"/>
              </w:rPr>
              <w:t>40 à 45 min</w:t>
            </w:r>
          </w:p>
        </w:tc>
        <w:tc>
          <w:tcPr>
            <w:tcW w:type="dxa" w:w="7880"/>
            <w:shd w:fill="FFFFFF"/>
          </w:tcPr>
          <w:p>
            <w:pPr>
              <w:spacing w:after="100" w:before="100"/>
            </w:pPr>
            <w:r>
              <w:rPr>
                <w:b w:val="0"/>
                <w:sz w:val="18"/>
              </w:rPr>
              <w:t>Repérer les moments incomplets, les désaccords et les points à porter dans la synthèse. À zéro, la saisie reste possible.</w:t>
            </w:r>
          </w:p>
        </w:tc>
      </w:tr>
    </w:tbl>
    <w:p>
      <w:pPr>
        <w:pStyle w:val="Heading2"/>
      </w:pPr>
      <w:r>
        <w:t>Les relances qui recentrent les échanges</w:t>
      </w:r>
    </w:p>
    <w:p>
      <w:r>
        <w:rPr>
          <w:b w:val="0"/>
        </w:rPr>
        <w:t>Quel besoin du professionnel cherchez-vous à résoudre ici ?</w:t>
      </w:r>
    </w:p>
    <w:p>
      <w:r>
        <w:rPr>
          <w:b w:val="0"/>
        </w:rPr>
        <w:t>Qui doit agir, avec qui, et à quel moment ?</w:t>
      </w:r>
    </w:p>
    <w:p>
      <w:r>
        <w:rPr>
          <w:b w:val="0"/>
        </w:rPr>
        <w:t>Pourquoi cet outil à cette étape ? Quelles conditions faut-il réunir ?</w:t>
      </w:r>
    </w:p>
    <w:p>
      <w:r>
        <w:rPr>
          <w:b w:val="0"/>
        </w:rPr>
        <w:t>Quel irritant risque de bloquer l’usage et quelle réponse concrète proposez-vous ?</w:t>
      </w:r>
    </w:p>
    <w:p>
      <w:r>
        <w:rPr>
          <w:b w:val="0"/>
        </w:rPr>
        <w:t>Comment diriez-vous cela en une ou deux phrases à un professionnel ?</w:t>
      </w:r>
    </w:p>
    <w:p>
      <w:r>
        <w:rPr>
          <w:b w:val="0"/>
        </w:rPr>
        <w:t>Utiliser le corrigé comme appui pour la discussion. Les réponses recevables dépendent de la justification et des conditions d’usage. Conserver les incertitudes dans « Question ouverte » ou « À confirmer ».</w:t>
      </w:r>
    </w:p>
    <w:p>
      <w:r>
        <w:br w:type="page"/>
      </w:r>
    </w:p>
    <w:p>
      <w:r>
        <w:rPr>
          <w:color w:val="8095AF"/>
          <w:sz w:val="18"/>
        </w:rPr>
        <w:t>ATELIER EXERCICE COORDONNÉ  /  05</w:t>
      </w:r>
    </w:p>
    <w:p>
      <w:pPr>
        <w:pStyle w:val="Heading1"/>
      </w:pPr>
      <w:r>
        <w:t>La synthèse et la démarche d’aller-vers</w:t>
      </w:r>
    </w:p>
    <w:p>
      <w:pPr>
        <w:pStyle w:val="Heading2"/>
      </w:pPr>
      <w:r>
        <w:t>Les 40 minutes de préparation</w:t>
      </w:r>
    </w:p>
    <w:tbl>
      <w:tblPr>
        <w:tblW w:type="auto" w:w="0"/>
        <w:tblLayout w:type="fixed"/>
        <w:tblLook w:firstColumn="1" w:firstRow="1" w:lastColumn="0" w:lastRow="0" w:noHBand="0" w:noVBand="1" w:val="04A0"/>
      </w:tblPr>
      <w:tblGrid>
        <w:gridCol w:w="1587"/>
        <w:gridCol w:w="8050"/>
      </w:tblGrid>
      <w:tr>
        <w:trPr>
          <w:cantSplit/>
          <w:tblHeader/>
        </w:trPr>
        <w:tc>
          <w:tcPr>
            <w:tcW w:type="dxa" w:w="4876"/>
            <w:shd w:fill="EAF0F8"/>
          </w:tcPr>
          <w:p>
            <w:pPr>
              <w:spacing w:after="100" w:before="100"/>
            </w:pPr>
            <w:r>
              <w:rPr>
                <w:b/>
                <w:sz w:val="18"/>
              </w:rPr>
              <w:t>Temps</w:t>
            </w:r>
          </w:p>
        </w:tc>
        <w:tc>
          <w:tcPr>
            <w:tcW w:type="dxa" w:w="4876"/>
            <w:shd w:fill="EAF0F8"/>
          </w:tcPr>
          <w:p>
            <w:pPr>
              <w:spacing w:after="100" w:before="100"/>
            </w:pPr>
            <w:r>
              <w:rPr>
                <w:b/>
                <w:sz w:val="18"/>
              </w:rPr>
              <w:t>Production</w:t>
            </w:r>
          </w:p>
        </w:tc>
      </w:tr>
      <w:tr>
        <w:trPr>
          <w:cantSplit/>
        </w:trPr>
        <w:tc>
          <w:tcPr>
            <w:tcW w:type="dxa" w:w="1587"/>
            <w:shd w:fill="FFFFFF"/>
          </w:tcPr>
          <w:p>
            <w:pPr>
              <w:spacing w:after="100" w:before="100"/>
            </w:pPr>
            <w:r>
              <w:rPr>
                <w:b w:val="0"/>
                <w:sz w:val="18"/>
              </w:rPr>
              <w:t>10 min</w:t>
            </w:r>
          </w:p>
        </w:tc>
        <w:tc>
          <w:tcPr>
            <w:tcW w:type="dxa" w:w="8050"/>
            <w:shd w:fill="FFFFFF"/>
          </w:tcPr>
          <w:p>
            <w:pPr>
              <w:spacing w:after="100" w:before="100"/>
            </w:pPr>
            <w:r>
              <w:rPr>
                <w:b w:val="0"/>
                <w:sz w:val="18"/>
              </w:rPr>
              <w:t>Relire les choix du parcours. Retenir les usages qui répondent le mieux aux objectifs des professionnels.</w:t>
            </w:r>
          </w:p>
        </w:tc>
      </w:tr>
      <w:tr>
        <w:trPr>
          <w:cantSplit/>
        </w:trPr>
        <w:tc>
          <w:tcPr>
            <w:tcW w:type="dxa" w:w="1587"/>
            <w:shd w:fill="FFFFFF"/>
          </w:tcPr>
          <w:p>
            <w:pPr>
              <w:spacing w:after="100" w:before="100"/>
            </w:pPr>
            <w:r>
              <w:rPr>
                <w:b w:val="0"/>
                <w:sz w:val="18"/>
              </w:rPr>
              <w:t>10 min</w:t>
            </w:r>
          </w:p>
        </w:tc>
        <w:tc>
          <w:tcPr>
            <w:tcW w:type="dxa" w:w="8050"/>
            <w:shd w:fill="FFFFFF"/>
          </w:tcPr>
          <w:p>
            <w:pPr>
              <w:spacing w:after="100" w:before="100"/>
            </w:pPr>
            <w:r>
              <w:rPr>
                <w:b w:val="0"/>
                <w:sz w:val="18"/>
              </w:rPr>
              <w:t>Reformuler les réponses aux irritants et les éléments de langage. Faire un essai oral entre participants.</w:t>
            </w:r>
          </w:p>
        </w:tc>
      </w:tr>
      <w:tr>
        <w:trPr>
          <w:cantSplit/>
        </w:trPr>
        <w:tc>
          <w:tcPr>
            <w:tcW w:type="dxa" w:w="1587"/>
            <w:shd w:fill="FFFFFF"/>
          </w:tcPr>
          <w:p>
            <w:pPr>
              <w:spacing w:after="100" w:before="100"/>
            </w:pPr>
            <w:r>
              <w:rPr>
                <w:b w:val="0"/>
                <w:sz w:val="18"/>
              </w:rPr>
              <w:t>10 min</w:t>
            </w:r>
          </w:p>
        </w:tc>
        <w:tc>
          <w:tcPr>
            <w:tcW w:type="dxa" w:w="8050"/>
            <w:shd w:fill="FFFFFF"/>
          </w:tcPr>
          <w:p>
            <w:pPr>
              <w:spacing w:after="100" w:before="100"/>
            </w:pPr>
            <w:r>
              <w:rPr>
                <w:b w:val="0"/>
                <w:sz w:val="18"/>
              </w:rPr>
              <w:t>Construire une première action territoriale : cible, acteur clé, bon moment, canal, pilote et échéance.</w:t>
            </w:r>
          </w:p>
        </w:tc>
      </w:tr>
      <w:tr>
        <w:trPr>
          <w:cantSplit/>
        </w:trPr>
        <w:tc>
          <w:tcPr>
            <w:tcW w:type="dxa" w:w="1587"/>
            <w:shd w:fill="FFFFFF"/>
          </w:tcPr>
          <w:p>
            <w:pPr>
              <w:spacing w:after="100" w:before="100"/>
            </w:pPr>
            <w:r>
              <w:rPr>
                <w:b w:val="0"/>
                <w:sz w:val="18"/>
              </w:rPr>
              <w:t>10 min</w:t>
            </w:r>
          </w:p>
        </w:tc>
        <w:tc>
          <w:tcPr>
            <w:tcW w:type="dxa" w:w="8050"/>
            <w:shd w:fill="FFFFFF"/>
          </w:tcPr>
          <w:p>
            <w:pPr>
              <w:spacing w:after="100" w:before="100"/>
            </w:pPr>
            <w:r>
              <w:rPr>
                <w:b w:val="0"/>
                <w:sz w:val="18"/>
              </w:rPr>
              <w:t>Choisir la phrase choc, expliciter les consensus et non-consensus, préparer les cinq minutes de restitution.</w:t>
            </w:r>
          </w:p>
        </w:tc>
      </w:tr>
    </w:tbl>
    <w:p>
      <w:pPr>
        <w:pStyle w:val="Heading2"/>
      </w:pPr>
      <w:r>
        <w:t>La trame d’une action d’accompagnement</w:t>
      </w:r>
    </w:p>
    <w:tbl>
      <w:tblPr>
        <w:tblW w:type="auto" w:w="0"/>
        <w:tblLayout w:type="fixed"/>
        <w:tblLook w:firstColumn="1" w:firstRow="1" w:lastColumn="0" w:lastRow="0" w:noHBand="0" w:noVBand="1" w:val="04A0"/>
      </w:tblPr>
      <w:tblGrid>
        <w:gridCol w:w="2268"/>
        <w:gridCol w:w="7370"/>
      </w:tblGrid>
      <w:tr>
        <w:trPr>
          <w:cantSplit/>
          <w:tblHeader/>
        </w:trPr>
        <w:tc>
          <w:tcPr>
            <w:tcW w:type="dxa" w:w="4876"/>
            <w:shd w:fill="EAF0F8"/>
          </w:tcPr>
          <w:p>
            <w:pPr>
              <w:spacing w:after="100" w:before="100"/>
            </w:pPr>
            <w:r>
              <w:rPr>
                <w:b/>
                <w:sz w:val="18"/>
              </w:rPr>
              <w:t>Champ</w:t>
            </w:r>
          </w:p>
        </w:tc>
        <w:tc>
          <w:tcPr>
            <w:tcW w:type="dxa" w:w="4876"/>
            <w:shd w:fill="EAF0F8"/>
          </w:tcPr>
          <w:p>
            <w:pPr>
              <w:spacing w:after="100" w:before="100"/>
            </w:pPr>
            <w:r>
              <w:rPr>
                <w:b/>
                <w:sz w:val="18"/>
              </w:rPr>
              <w:t>Question à résoudre</w:t>
            </w:r>
          </w:p>
        </w:tc>
      </w:tr>
      <w:tr>
        <w:trPr>
          <w:cantSplit/>
        </w:trPr>
        <w:tc>
          <w:tcPr>
            <w:tcW w:type="dxa" w:w="2268"/>
            <w:shd w:fill="FFFFFF"/>
          </w:tcPr>
          <w:p>
            <w:pPr>
              <w:spacing w:after="100" w:before="100"/>
            </w:pPr>
            <w:r>
              <w:rPr>
                <w:b w:val="0"/>
                <w:sz w:val="18"/>
              </w:rPr>
              <w:t>Besoin / irritant</w:t>
            </w:r>
          </w:p>
        </w:tc>
        <w:tc>
          <w:tcPr>
            <w:tcW w:type="dxa" w:w="7370"/>
            <w:shd w:fill="FFFFFF"/>
          </w:tcPr>
          <w:p>
            <w:pPr>
              <w:spacing w:after="100" w:before="100"/>
            </w:pPr>
            <w:r>
              <w:rPr>
                <w:b w:val="0"/>
                <w:sz w:val="18"/>
              </w:rPr>
              <w:t>Quel problème concret le professionnel veut-il résoudre ?</w:t>
            </w:r>
          </w:p>
        </w:tc>
      </w:tr>
      <w:tr>
        <w:trPr>
          <w:cantSplit/>
        </w:trPr>
        <w:tc>
          <w:tcPr>
            <w:tcW w:type="dxa" w:w="2268"/>
            <w:shd w:fill="FFFFFF"/>
          </w:tcPr>
          <w:p>
            <w:pPr>
              <w:spacing w:after="100" w:before="100"/>
            </w:pPr>
            <w:r>
              <w:rPr>
                <w:b w:val="0"/>
                <w:sz w:val="18"/>
              </w:rPr>
              <w:t>Cible et acteur clé</w:t>
            </w:r>
          </w:p>
        </w:tc>
        <w:tc>
          <w:tcPr>
            <w:tcW w:type="dxa" w:w="7370"/>
            <w:shd w:fill="FFFFFF"/>
          </w:tcPr>
          <w:p>
            <w:pPr>
              <w:spacing w:after="100" w:before="100"/>
            </w:pPr>
            <w:r>
              <w:rPr>
                <w:b w:val="0"/>
                <w:sz w:val="18"/>
              </w:rPr>
              <w:t>Quelle CPTS, MSP ou CDS ? Qui peut ouvrir la porte ?</w:t>
            </w:r>
          </w:p>
        </w:tc>
      </w:tr>
      <w:tr>
        <w:trPr>
          <w:cantSplit/>
        </w:trPr>
        <w:tc>
          <w:tcPr>
            <w:tcW w:type="dxa" w:w="2268"/>
            <w:shd w:fill="FFFFFF"/>
          </w:tcPr>
          <w:p>
            <w:pPr>
              <w:spacing w:after="100" w:before="100"/>
            </w:pPr>
            <w:r>
              <w:rPr>
                <w:b w:val="0"/>
                <w:sz w:val="18"/>
              </w:rPr>
              <w:t>Moment</w:t>
            </w:r>
          </w:p>
        </w:tc>
        <w:tc>
          <w:tcPr>
            <w:tcW w:type="dxa" w:w="7370"/>
            <w:shd w:fill="FFFFFF"/>
          </w:tcPr>
          <w:p>
            <w:pPr>
              <w:spacing w:after="100" w:before="100"/>
            </w:pPr>
            <w:r>
              <w:rPr>
                <w:b w:val="0"/>
                <w:sz w:val="18"/>
              </w:rPr>
              <w:t>À quelle réunion, visite ou rencontre locale prendre contact ?</w:t>
            </w:r>
          </w:p>
        </w:tc>
      </w:tr>
      <w:tr>
        <w:trPr>
          <w:cantSplit/>
        </w:trPr>
        <w:tc>
          <w:tcPr>
            <w:tcW w:type="dxa" w:w="2268"/>
            <w:shd w:fill="FFFFFF"/>
          </w:tcPr>
          <w:p>
            <w:pPr>
              <w:spacing w:after="100" w:before="100"/>
            </w:pPr>
            <w:r>
              <w:rPr>
                <w:b w:val="0"/>
                <w:sz w:val="18"/>
              </w:rPr>
              <w:t>Canal et message</w:t>
            </w:r>
          </w:p>
        </w:tc>
        <w:tc>
          <w:tcPr>
            <w:tcW w:type="dxa" w:w="7370"/>
            <w:shd w:fill="FFFFFF"/>
          </w:tcPr>
          <w:p>
            <w:pPr>
              <w:spacing w:after="100" w:before="100"/>
            </w:pPr>
            <w:r>
              <w:rPr>
                <w:b w:val="0"/>
                <w:sz w:val="18"/>
              </w:rPr>
              <w:t>Quel premier contact ? Avec quel message adapté au besoin ?</w:t>
            </w:r>
          </w:p>
        </w:tc>
      </w:tr>
      <w:tr>
        <w:trPr>
          <w:cantSplit/>
        </w:trPr>
        <w:tc>
          <w:tcPr>
            <w:tcW w:type="dxa" w:w="2268"/>
            <w:shd w:fill="FFFFFF"/>
          </w:tcPr>
          <w:p>
            <w:pPr>
              <w:spacing w:after="100" w:before="100"/>
            </w:pPr>
            <w:r>
              <w:rPr>
                <w:b w:val="0"/>
                <w:sz w:val="18"/>
              </w:rPr>
              <w:t>Action</w:t>
            </w:r>
          </w:p>
        </w:tc>
        <w:tc>
          <w:tcPr>
            <w:tcW w:type="dxa" w:w="7370"/>
            <w:shd w:fill="FFFFFF"/>
          </w:tcPr>
          <w:p>
            <w:pPr>
              <w:spacing w:after="100" w:before="100"/>
            </w:pPr>
            <w:r>
              <w:rPr>
                <w:b w:val="0"/>
                <w:sz w:val="18"/>
              </w:rPr>
              <w:t>Démonstration, essai accompagné, rendez-vous commun ou travail sur un cas ?</w:t>
            </w:r>
          </w:p>
        </w:tc>
      </w:tr>
      <w:tr>
        <w:trPr>
          <w:cantSplit/>
        </w:trPr>
        <w:tc>
          <w:tcPr>
            <w:tcW w:type="dxa" w:w="2268"/>
            <w:shd w:fill="FFFFFF"/>
          </w:tcPr>
          <w:p>
            <w:pPr>
              <w:spacing w:after="100" w:before="100"/>
            </w:pPr>
            <w:r>
              <w:rPr>
                <w:b w:val="0"/>
                <w:sz w:val="18"/>
              </w:rPr>
              <w:t>Responsabilités</w:t>
            </w:r>
          </w:p>
        </w:tc>
        <w:tc>
          <w:tcPr>
            <w:tcW w:type="dxa" w:w="7370"/>
            <w:shd w:fill="FFFFFF"/>
          </w:tcPr>
          <w:p>
            <w:pPr>
              <w:spacing w:after="100" w:before="100"/>
            </w:pPr>
            <w:r>
              <w:rPr>
                <w:b w:val="0"/>
                <w:sz w:val="18"/>
              </w:rPr>
              <w:t>Qui fait quoi entre CPAM, ARS et SESAN ?</w:t>
            </w:r>
          </w:p>
        </w:tc>
      </w:tr>
      <w:tr>
        <w:trPr>
          <w:cantSplit/>
        </w:trPr>
        <w:tc>
          <w:tcPr>
            <w:tcW w:type="dxa" w:w="2268"/>
            <w:shd w:fill="FFFFFF"/>
          </w:tcPr>
          <w:p>
            <w:pPr>
              <w:spacing w:after="100" w:before="100"/>
            </w:pPr>
            <w:r>
              <w:rPr>
                <w:b w:val="0"/>
                <w:sz w:val="18"/>
              </w:rPr>
              <w:t>Échéance et suivi</w:t>
            </w:r>
          </w:p>
        </w:tc>
        <w:tc>
          <w:tcPr>
            <w:tcW w:type="dxa" w:w="7370"/>
            <w:shd w:fill="FFFFFF"/>
          </w:tcPr>
          <w:p>
            <w:pPr>
              <w:spacing w:after="100" w:before="100"/>
            </w:pPr>
            <w:r>
              <w:rPr>
                <w:b w:val="0"/>
                <w:sz w:val="18"/>
              </w:rPr>
              <w:t>Quel engagement concret et quelle preuve de réalisation ?</w:t>
            </w:r>
          </w:p>
        </w:tc>
      </w:tr>
    </w:tbl>
    <w:p>
      <w:pPr>
        <w:pStyle w:val="Heading2"/>
      </w:pPr>
      <w:r>
        <w:t>Les cinq minutes du rapporteur</w:t>
      </w:r>
    </w:p>
    <w:p>
      <w:r>
        <w:rPr>
          <w:b w:val="0"/>
        </w:rPr>
        <w:t>30 secondes pour la phrase choc. Une minute pour un moment du parcours et les choix justifiés. Une minute pour un irritant et la réponse proposée. Une minute pour le désaccord ou la question ouverte. Une minute pour l’action d’aller-vers. Les 30 secondes restantes couvrent la transition.</w:t>
      </w:r>
    </w:p>
    <w:p>
      <w:r>
        <w:rPr>
          <w:b w:val="0"/>
        </w:rPr>
        <w:t>Le groupe ouvre « Synthèse », complète ses rubriques puis clique sur « Transmettre ». Le JSON conserve l’ensemble des notes, même celles qui ne seront pas présentées oralement.</w:t>
      </w:r>
    </w:p>
    <w:p>
      <w:r>
        <w:br w:type="page"/>
      </w:r>
    </w:p>
    <w:p>
      <w:r>
        <w:rPr>
          <w:color w:val="8095AF"/>
          <w:sz w:val="18"/>
        </w:rPr>
        <w:t>ATELIER EXERCICE COORDONNÉ  /  06</w:t>
      </w:r>
    </w:p>
    <w:p>
      <w:pPr>
        <w:pStyle w:val="Heading1"/>
      </w:pPr>
      <w:r>
        <w:t>Recevoir et consolider les résultats</w:t>
      </w:r>
    </w:p>
    <w:p>
      <w:pPr>
        <w:pStyle w:val="Heading2"/>
      </w:pPr>
      <w:r>
        <w:t>Le circuit de transmission</w:t>
      </w:r>
    </w:p>
    <w:p>
      <w:r>
        <w:rPr>
          <w:b w:val="0"/>
        </w:rPr>
        <w:t>1. Le groupe télécharge son JSON dans « Transmettre ». Le nom du fichier rappelle le groupe et la date de l’export.</w:t>
      </w:r>
    </w:p>
    <w:p>
      <w:r>
        <w:rPr>
          <w:b w:val="0"/>
        </w:rPr>
        <w:t>2. Il renseigne le courriel de l’animateur puis prépare le message. Il ajoute lui-même le JSON en pièce jointe et envoie le courriel. « Copier le message » permet d’utiliser une autre messagerie.</w:t>
      </w:r>
    </w:p>
    <w:p>
      <w:r>
        <w:rPr>
          <w:b w:val="0"/>
        </w:rPr>
        <w:t>3. L’animateur récupère les fichiers reçus et les sélectionne ensemble dans « Importer les résultats JSON ». Un dossier partagé ou une clé USB convient aussi.</w:t>
      </w:r>
    </w:p>
    <w:p>
      <w:r>
        <w:rPr>
          <w:b w:val="0"/>
        </w:rPr>
        <w:t>4. Il examine la prévisualisation. Les résultats portent le nom du groupe, le parcours, le territoire, la date de mise à jour et le fichier reçu.</w:t>
      </w:r>
    </w:p>
    <w:tbl>
      <w:tblPr>
        <w:tblW w:type="auto" w:w="0"/>
        <w:tblLayout w:type="fixed"/>
        <w:tblLook w:firstColumn="1" w:firstRow="1" w:lastColumn="0" w:lastRow="0" w:noHBand="0" w:noVBand="1" w:val="04A0"/>
      </w:tblPr>
      <w:tblGrid>
        <w:gridCol w:w="2835"/>
        <w:gridCol w:w="6803"/>
      </w:tblGrid>
      <w:tr>
        <w:trPr>
          <w:cantSplit/>
          <w:tblHeader/>
        </w:trPr>
        <w:tc>
          <w:tcPr>
            <w:tcW w:type="dxa" w:w="4876"/>
            <w:shd w:fill="EAF0F8"/>
          </w:tcPr>
          <w:p>
            <w:pPr>
              <w:spacing w:after="100" w:before="100"/>
            </w:pPr>
            <w:r>
              <w:rPr>
                <w:b/>
                <w:sz w:val="18"/>
              </w:rPr>
              <w:t>État à l’import</w:t>
            </w:r>
          </w:p>
        </w:tc>
        <w:tc>
          <w:tcPr>
            <w:tcW w:type="dxa" w:w="4876"/>
            <w:shd w:fill="EAF0F8"/>
          </w:tcPr>
          <w:p>
            <w:pPr>
              <w:spacing w:after="100" w:before="100"/>
            </w:pPr>
            <w:r>
              <w:rPr>
                <w:b/>
                <w:sz w:val="18"/>
              </w:rPr>
              <w:t>Action</w:t>
            </w:r>
          </w:p>
        </w:tc>
      </w:tr>
      <w:tr>
        <w:trPr>
          <w:cantSplit/>
        </w:trPr>
        <w:tc>
          <w:tcPr>
            <w:tcW w:type="dxa" w:w="2835"/>
            <w:shd w:fill="FFFFFF"/>
          </w:tcPr>
          <w:p>
            <w:pPr>
              <w:spacing w:after="100" w:before="100"/>
            </w:pPr>
            <w:r>
              <w:rPr>
                <w:b w:val="0"/>
                <w:sz w:val="18"/>
              </w:rPr>
              <w:t>Nouveau groupe</w:t>
            </w:r>
          </w:p>
        </w:tc>
        <w:tc>
          <w:tcPr>
            <w:tcW w:type="dxa" w:w="6803"/>
            <w:shd w:fill="FFFFFF"/>
          </w:tcPr>
          <w:p>
            <w:pPr>
              <w:spacing w:after="100" w:before="100"/>
            </w:pPr>
            <w:r>
              <w:rPr>
                <w:b w:val="0"/>
                <w:sz w:val="18"/>
              </w:rPr>
              <w:t>Ajouter le groupe, ou ignorer le fichier.</w:t>
            </w:r>
          </w:p>
        </w:tc>
      </w:tr>
      <w:tr>
        <w:trPr>
          <w:cantSplit/>
        </w:trPr>
        <w:tc>
          <w:tcPr>
            <w:tcW w:type="dxa" w:w="2835"/>
            <w:shd w:fill="FFFFFF"/>
          </w:tcPr>
          <w:p>
            <w:pPr>
              <w:spacing w:after="100" w:before="100"/>
            </w:pPr>
            <w:r>
              <w:rPr>
                <w:b w:val="0"/>
                <w:sz w:val="18"/>
              </w:rPr>
              <w:t>Déjà reçu à l’identique</w:t>
            </w:r>
          </w:p>
        </w:tc>
        <w:tc>
          <w:tcPr>
            <w:tcW w:type="dxa" w:w="6803"/>
            <w:shd w:fill="FFFFFF"/>
          </w:tcPr>
          <w:p>
            <w:pPr>
              <w:spacing w:after="100" w:before="100"/>
            </w:pPr>
            <w:r>
              <w:rPr>
                <w:b w:val="0"/>
                <w:sz w:val="18"/>
              </w:rPr>
              <w:t>Ignorer le doublon. Le groupe reste compté une fois.</w:t>
            </w:r>
          </w:p>
        </w:tc>
      </w:tr>
      <w:tr>
        <w:trPr>
          <w:cantSplit/>
        </w:trPr>
        <w:tc>
          <w:tcPr>
            <w:tcW w:type="dxa" w:w="2835"/>
            <w:shd w:fill="FFFFFF"/>
          </w:tcPr>
          <w:p>
            <w:pPr>
              <w:spacing w:after="100" w:before="100"/>
            </w:pPr>
            <w:r>
              <w:rPr>
                <w:b w:val="0"/>
                <w:sz w:val="18"/>
              </w:rPr>
              <w:t>Une version existe</w:t>
            </w:r>
          </w:p>
        </w:tc>
        <w:tc>
          <w:tcPr>
            <w:tcW w:type="dxa" w:w="6803"/>
            <w:shd w:fill="FFFFFF"/>
          </w:tcPr>
          <w:p>
            <w:pPr>
              <w:spacing w:after="100" w:before="100"/>
            </w:pPr>
            <w:r>
              <w:rPr>
                <w:b w:val="0"/>
                <w:sz w:val="18"/>
              </w:rPr>
              <w:t>Conserver la version actuelle, remplacer par le fichier reçu ou ajouter une copie distincte.</w:t>
            </w:r>
          </w:p>
        </w:tc>
      </w:tr>
      <w:tr>
        <w:trPr>
          <w:cantSplit/>
        </w:trPr>
        <w:tc>
          <w:tcPr>
            <w:tcW w:type="dxa" w:w="2835"/>
            <w:shd w:fill="FFFFFF"/>
          </w:tcPr>
          <w:p>
            <w:pPr>
              <w:spacing w:after="100" w:before="100"/>
            </w:pPr>
            <w:r>
              <w:rPr>
                <w:b w:val="0"/>
                <w:sz w:val="18"/>
              </w:rPr>
              <w:t>Fichier invalide</w:t>
            </w:r>
          </w:p>
        </w:tc>
        <w:tc>
          <w:tcPr>
            <w:tcW w:type="dxa" w:w="6803"/>
            <w:shd w:fill="FFFFFF"/>
          </w:tcPr>
          <w:p>
            <w:pPr>
              <w:spacing w:after="100" w:before="100"/>
            </w:pPr>
            <w:r>
              <w:rPr>
                <w:b w:val="0"/>
                <w:sz w:val="18"/>
              </w:rPr>
              <w:t>Le fichier est signalé et ne s’ajoute pas. Les autres fichiers valides restent examinables.</w:t>
            </w:r>
          </w:p>
        </w:tc>
      </w:tr>
    </w:tbl>
    <w:p>
      <w:pPr>
        <w:pStyle w:val="Heading2"/>
      </w:pPr>
      <w:r>
        <w:t>La synthèse commune</w:t>
      </w:r>
    </w:p>
    <w:p>
      <w:r>
        <w:rPr>
          <w:b w:val="0"/>
        </w:rPr>
        <w:t>Dans « Contributions », lire les propos avec leur provenance. Dans « Synthèse transversale », saisir les messages essentiels, consensus validés, non-consensus, éléments de langage, autres irritants, questions, actions et suivi. Une répétition entre groupes ne suffit pas à déclarer un consensus.</w:t>
      </w:r>
    </w:p>
    <w:p>
      <w:pPr>
        <w:pStyle w:val="Heading2"/>
      </w:pPr>
      <w:r>
        <w:t>Conserver une reprise complète</w:t>
      </w:r>
    </w:p>
    <w:p>
      <w:r>
        <w:rPr>
          <w:b w:val="0"/>
        </w:rPr>
        <w:t>« Sauvegarder la consolidation » exporte tous les groupes, la configuration de la séance et la synthèse de plénière. Au réimport, cocher explicitement la reprise de la synthèse animateur si elle doit remplacer celle de l’appareil.</w:t>
      </w:r>
    </w:p>
    <w:p>
      <w:r>
        <w:rPr>
          <w:b w:val="0"/>
        </w:rPr>
        <w:t>L’espace animateur est un fichier local distinct. Il ne gère pas de connexion par compte ni de réception automatique des courriels. La validation de réception consiste à importer le JSON reçu et à vérifier le groupe affiché.</w:t>
      </w:r>
    </w:p>
    <w:p>
      <w:r>
        <w:br w:type="page"/>
      </w:r>
    </w:p>
    <w:p>
      <w:r>
        <w:rPr>
          <w:color w:val="8095AF"/>
          <w:sz w:val="18"/>
        </w:rPr>
        <w:t>ATELIER EXERCICE COORDONNÉ  /  07</w:t>
      </w:r>
    </w:p>
    <w:p>
      <w:pPr>
        <w:pStyle w:val="Heading1"/>
      </w:pPr>
      <w:r>
        <w:t>Le PowerPoint et les livrables de sortie</w:t>
      </w:r>
    </w:p>
    <w:p>
      <w:pPr>
        <w:pStyle w:val="Heading2"/>
      </w:pPr>
      <w:r>
        <w:t>La restitution globale</w:t>
      </w:r>
    </w:p>
    <w:p>
      <w:r>
        <w:rPr>
          <w:b w:val="0"/>
        </w:rPr>
        <w:t>Dans « Groupes et participants », cocher les groupes à retenir. Dans « Restitution et exports », générer le PowerPoint. Le diaporama reste modifiable et poursuit les textes longs sur des diapositives supplémentaires.</w:t>
      </w:r>
    </w:p>
    <w:tbl>
      <w:tblPr>
        <w:tblW w:type="auto" w:w="0"/>
        <w:tblLayout w:type="fixed"/>
        <w:tblLook w:firstColumn="1" w:firstRow="1" w:lastColumn="0" w:lastRow="0" w:noHBand="0" w:noVBand="1" w:val="04A0"/>
      </w:tblPr>
      <w:tblGrid>
        <w:gridCol w:w="2438"/>
        <w:gridCol w:w="7200"/>
      </w:tblGrid>
      <w:tr>
        <w:trPr>
          <w:cantSplit/>
          <w:tblHeader/>
        </w:trPr>
        <w:tc>
          <w:tcPr>
            <w:tcW w:type="dxa" w:w="4876"/>
            <w:shd w:fill="EAF0F8"/>
          </w:tcPr>
          <w:p>
            <w:pPr>
              <w:spacing w:after="100" w:before="100"/>
            </w:pPr>
            <w:r>
              <w:rPr>
                <w:b/>
                <w:sz w:val="18"/>
              </w:rPr>
              <w:t>Dans le PowerPoint</w:t>
            </w:r>
          </w:p>
        </w:tc>
        <w:tc>
          <w:tcPr>
            <w:tcW w:type="dxa" w:w="4876"/>
            <w:shd w:fill="EAF0F8"/>
          </w:tcPr>
          <w:p>
            <w:pPr>
              <w:spacing w:after="100" w:before="100"/>
            </w:pPr>
            <w:r>
              <w:rPr>
                <w:b/>
                <w:sz w:val="18"/>
              </w:rPr>
              <w:t>Contenu</w:t>
            </w:r>
          </w:p>
        </w:tc>
      </w:tr>
      <w:tr>
        <w:trPr>
          <w:cantSplit/>
        </w:trPr>
        <w:tc>
          <w:tcPr>
            <w:tcW w:type="dxa" w:w="2438"/>
            <w:shd w:fill="FFFFFF"/>
          </w:tcPr>
          <w:p>
            <w:pPr>
              <w:spacing w:after="100" w:before="100"/>
            </w:pPr>
            <w:r>
              <w:rPr>
                <w:b w:val="0"/>
                <w:sz w:val="18"/>
              </w:rPr>
              <w:t>La journée</w:t>
            </w:r>
          </w:p>
        </w:tc>
        <w:tc>
          <w:tcPr>
            <w:tcW w:type="dxa" w:w="7200"/>
            <w:shd w:fill="FFFFFF"/>
          </w:tcPr>
          <w:p>
            <w:pPr>
              <w:spacing w:after="100" w:before="100"/>
            </w:pPr>
            <w:r>
              <w:rPr>
                <w:b w:val="0"/>
                <w:sz w:val="18"/>
              </w:rPr>
              <w:t>Groupes retenus, participants inscrits et parcours affectés ou travaillés.</w:t>
            </w:r>
          </w:p>
        </w:tc>
      </w:tr>
      <w:tr>
        <w:trPr>
          <w:cantSplit/>
        </w:trPr>
        <w:tc>
          <w:tcPr>
            <w:tcW w:type="dxa" w:w="2438"/>
            <w:shd w:fill="FFFFFF"/>
          </w:tcPr>
          <w:p>
            <w:pPr>
              <w:spacing w:after="100" w:before="100"/>
            </w:pPr>
            <w:r>
              <w:rPr>
                <w:b w:val="0"/>
                <w:sz w:val="18"/>
              </w:rPr>
              <w:t>La plénière</w:t>
            </w:r>
          </w:p>
        </w:tc>
        <w:tc>
          <w:tcPr>
            <w:tcW w:type="dxa" w:w="7200"/>
            <w:shd w:fill="FFFFFF"/>
          </w:tcPr>
          <w:p>
            <w:pPr>
              <w:spacing w:after="100" w:before="100"/>
            </w:pPr>
            <w:r>
              <w:rPr>
                <w:b w:val="0"/>
                <w:sz w:val="18"/>
              </w:rPr>
              <w:t>Messages essentiels, consensus, non-consensus, éléments de langage, irritants, questions et actions saisis par l’animateur.</w:t>
            </w:r>
          </w:p>
        </w:tc>
      </w:tr>
      <w:tr>
        <w:trPr>
          <w:cantSplit/>
        </w:trPr>
        <w:tc>
          <w:tcPr>
            <w:tcW w:type="dxa" w:w="2438"/>
            <w:shd w:fill="FFFFFF"/>
          </w:tcPr>
          <w:p>
            <w:pPr>
              <w:spacing w:after="100" w:before="100"/>
            </w:pPr>
            <w:r>
              <w:rPr>
                <w:b w:val="0"/>
                <w:sz w:val="18"/>
              </w:rPr>
              <w:t>Les groupes</w:t>
            </w:r>
          </w:p>
        </w:tc>
        <w:tc>
          <w:tcPr>
            <w:tcW w:type="dxa" w:w="7200"/>
            <w:shd w:fill="FFFFFF"/>
          </w:tcPr>
          <w:p>
            <w:pPr>
              <w:spacing w:after="100" w:before="100"/>
            </w:pPr>
            <w:r>
              <w:rPr>
                <w:b w:val="0"/>
                <w:sz w:val="18"/>
              </w:rPr>
              <w:t>Phrases choc, synthèses, choix sur les étapes, freins, leviers, éléments de langage et suites proposées.</w:t>
            </w:r>
          </w:p>
        </w:tc>
      </w:tr>
      <w:tr>
        <w:trPr>
          <w:cantSplit/>
        </w:trPr>
        <w:tc>
          <w:tcPr>
            <w:tcW w:type="dxa" w:w="2438"/>
            <w:shd w:fill="FFFFFF"/>
          </w:tcPr>
          <w:p>
            <w:pPr>
              <w:spacing w:after="100" w:before="100"/>
            </w:pPr>
            <w:r>
              <w:rPr>
                <w:b w:val="0"/>
                <w:sz w:val="18"/>
              </w:rPr>
              <w:t>Les appréciations</w:t>
            </w:r>
          </w:p>
        </w:tc>
        <w:tc>
          <w:tcPr>
            <w:tcW w:type="dxa" w:w="7200"/>
            <w:shd w:fill="FFFFFF"/>
          </w:tcPr>
          <w:p>
            <w:pPr>
              <w:spacing w:after="100" w:before="100"/>
            </w:pPr>
            <w:r>
              <w:rPr>
                <w:b w:val="0"/>
                <w:sz w:val="18"/>
              </w:rPr>
              <w:t>Notes des outils avec le nombre de groupes évaluateurs par critère.</w:t>
            </w:r>
          </w:p>
        </w:tc>
      </w:tr>
      <w:tr>
        <w:trPr>
          <w:cantSplit/>
        </w:trPr>
        <w:tc>
          <w:tcPr>
            <w:tcW w:type="dxa" w:w="2438"/>
            <w:shd w:fill="FFFFFF"/>
          </w:tcPr>
          <w:p>
            <w:pPr>
              <w:spacing w:after="100" w:before="100"/>
            </w:pPr>
            <w:r>
              <w:rPr>
                <w:b w:val="0"/>
                <w:sz w:val="18"/>
              </w:rPr>
              <w:t>La suite</w:t>
            </w:r>
          </w:p>
        </w:tc>
        <w:tc>
          <w:tcPr>
            <w:tcW w:type="dxa" w:w="7200"/>
            <w:shd w:fill="FFFFFF"/>
          </w:tcPr>
          <w:p>
            <w:pPr>
              <w:spacing w:after="100" w:before="100"/>
            </w:pPr>
            <w:r>
              <w:rPr>
                <w:b w:val="0"/>
                <w:sz w:val="18"/>
              </w:rPr>
              <w:t>Pilotes, échéances et points ouverts à suivre.</w:t>
            </w:r>
          </w:p>
        </w:tc>
      </w:tr>
    </w:tbl>
    <w:p>
      <w:pPr>
        <w:pStyle w:val="Heading2"/>
      </w:pPr>
      <w:r>
        <w:t>Lire les étoiles</w:t>
      </w:r>
    </w:p>
    <w:p>
      <w:r>
        <w:rPr>
          <w:b w:val="0"/>
        </w:rPr>
        <w:t>Pertinence, facilité et gain de temps : 1 indique une appréciation faible, 5 une appréciation forte. Difficulté d’équipement : 1 indique une difficulté faible, 5 une difficulté élevée. Aucune note n’est préremplie.</w:t>
      </w:r>
    </w:p>
    <w:p>
      <w:r>
        <w:rPr>
          <w:b w:val="0"/>
        </w:rPr>
        <w:t>La restitution calcule d’abord la moyenne d’un outil au sein de chaque groupe, puis la moyenne entre les groupes ayant noté ce critère. Chaque groupe pèse autant. Le nombre affiché correspond aux groupes évaluateurs. Les notes manquantes ne deviennent pas des zéros.</w:t>
      </w:r>
    </w:p>
    <w:p>
      <w:pPr>
        <w:pStyle w:val="Heading2"/>
      </w:pPr>
      <w:r>
        <w:t>Les autres sorties</w:t>
      </w:r>
    </w:p>
    <w:p>
      <w:r>
        <w:rPr>
          <w:b w:val="0"/>
        </w:rPr>
        <w:t>Le compte rendu HTML rassemble les contributions et s’imprime en PDF. Le CSV détaillé des groupes reprend les choix et notes par carte. Le CSV des évaluations garde les notes par groupe, outil et étape. La liste des participants possède son propre CSV. Le JSON reste la référence pour une reprise complète.</w:t>
      </w:r>
    </w:p>
    <w:p>
      <w:pPr>
        <w:pStyle w:val="Heading2"/>
      </w:pPr>
      <w:r>
        <w:t>Après la journée</w:t>
      </w:r>
    </w:p>
    <w:p>
      <w:r>
        <w:rPr>
          <w:b w:val="0"/>
        </w:rPr>
        <w:t>Avant diffusion du kit, vérifier les points ouverts et valider les éléments de langage retenus. À titre de suivi, prévoir un retour aux groupes sous une semaine, puis un point à un mois sur les actions engagées. Affecter un pilote à chaque question et chaque engagement.</w:t>
      </w:r>
    </w:p>
    <w:p>
      <w:r>
        <w:br w:type="page"/>
      </w:r>
    </w:p>
    <w:p>
      <w:r>
        <w:rPr>
          <w:color w:val="8095AF"/>
          <w:sz w:val="18"/>
        </w:rPr>
        <w:t>ATELIER EXERCICE COORDONNÉ  /  08</w:t>
      </w:r>
    </w:p>
    <w:p>
      <w:pPr>
        <w:pStyle w:val="Heading1"/>
      </w:pPr>
      <w:r>
        <w:t>Les fiches outils et la vérification finale</w:t>
      </w:r>
    </w:p>
    <w:p>
      <w:pPr>
        <w:pStyle w:val="Heading2"/>
      </w:pPr>
      <w:r>
        <w:t>La bibliothèque du Word dans le jeu</w:t>
      </w:r>
    </w:p>
    <w:p>
      <w:r>
        <w:rPr>
          <w:b w:val="0"/>
        </w:rPr>
        <w:t>Le bandeau « Découvrir les outils » donne accès à un sélecteur de service et aux usages précis. Chaque fiche reprend les rubriques de l’annexe : à quoi sert l’outil, qui l’utilise, à quel moment, statut, irritant fréquent, élément de langage et sources lorsqu’elles figurent dans le document.</w:t>
      </w:r>
    </w:p>
    <w:p>
      <w:r>
        <w:rPr>
          <w:b w:val="0"/>
        </w:rPr>
        <w:t>Dans le choix des cartes, l’infobulle donne le descriptif court et le statut de la fiche. Le bouton « i » ouvre le contenu détaillé. Les pictos posés sur le parcours gardent l’accès aux notes et aux étoiles propres à cette occurrence.</w:t>
      </w:r>
    </w:p>
    <w:p>
      <w:r>
        <w:rPr>
          <w:b w:val="0"/>
        </w:rPr>
        <w:t>Le kit de référence est daté du 05/10/2026. Les points signalés « à confirmer » gardent cette mention. L’annexe et les frises d’origine restent disponibles dans le dossier References. Les notes corrigées du PowerPoint servent aux animateurs.</w:t>
      </w:r>
    </w:p>
    <w:p>
      <w:pPr>
        <w:pStyle w:val="Heading2"/>
      </w:pPr>
      <w:r>
        <w:t>Avant la séance</w:t>
      </w:r>
    </w:p>
    <w:p>
      <w:r>
        <w:rPr>
          <w:b w:val="0"/>
        </w:rPr>
        <w:t>□ Répartir les parcours et préparer les groupes selon les inscriptions disponibles.</w:t>
      </w:r>
    </w:p>
    <w:p>
      <w:r>
        <w:rPr>
          <w:b w:val="0"/>
        </w:rPr>
        <w:t>□ Tester le HTML, le timer, un export JSON et le PowerPoint sur les postes de la salle.</w:t>
      </w:r>
    </w:p>
    <w:p>
      <w:r>
        <w:rPr>
          <w:b w:val="0"/>
        </w:rPr>
        <w:t>□ Renseigner le courriel de réception et annoncer le canal de transmission.</w:t>
      </w:r>
    </w:p>
    <w:p>
      <w:r>
        <w:rPr>
          <w:b w:val="0"/>
        </w:rPr>
        <w:t>□ Préparer la relance des animateurs et la durée de restitution selon le nombre de tables.</w:t>
      </w:r>
    </w:p>
    <w:p>
      <w:r>
        <w:rPr>
          <w:b w:val="0"/>
        </w:rPr>
        <w:t>□ Retirer les données de démonstration des groupes sélectionnés pour la séance réelle.</w:t>
      </w:r>
    </w:p>
    <w:p>
      <w:pPr>
        <w:pStyle w:val="Heading2"/>
      </w:pPr>
      <w:r>
        <w:t>Avant de quitter la salle</w:t>
      </w:r>
    </w:p>
    <w:p>
      <w:r>
        <w:rPr>
          <w:b w:val="0"/>
        </w:rPr>
        <w:t>□ Chaque table a téléchargé et transmis son JSON.</w:t>
      </w:r>
    </w:p>
    <w:p>
      <w:r>
        <w:rPr>
          <w:b w:val="0"/>
        </w:rPr>
        <w:t>□ Les fichiers reçus ont été importés et les doublons examinés.</w:t>
      </w:r>
    </w:p>
    <w:p>
      <w:r>
        <w:rPr>
          <w:b w:val="0"/>
        </w:rPr>
        <w:t>□ La synthèse de plénière distingue consensus, non-consensus et points ouverts.</w:t>
      </w:r>
    </w:p>
    <w:p>
      <w:r>
        <w:rPr>
          <w:b w:val="0"/>
        </w:rPr>
        <w:t>□ Les pilotes et échéances des actions sont renseignés.</w:t>
      </w:r>
    </w:p>
    <w:p>
      <w:r>
        <w:rPr>
          <w:b w:val="0"/>
        </w:rPr>
        <w:t>□ La consolidation JSON, le PowerPoint et le compte rendu ont été téléchargés.</w:t>
      </w:r>
    </w:p>
    <w:p>
      <w:pPr>
        <w:pStyle w:val="Heading2"/>
      </w:pPr>
      <w:r>
        <w:t>En cas de difficulté</w:t>
      </w:r>
    </w:p>
    <w:p>
      <w:r>
        <w:rPr>
          <w:b w:val="0"/>
        </w:rPr>
        <w:t>Si les boutons ne répondent pas dans un aperçu de messagerie ou de partage, télécharger le HTML et l’ouvrir dans le navigateur. Si la sauvegarde locale devient indisponible, exporter immédiatement le JSON. Si le courriel ne s’ouvre pas, copier le message et ajouter le JSON manuellement. Si le PPTX ne se génère pas, conserver le JSON et utiliser le compte rendu HTML en attendant la reprise.</w:t>
      </w:r>
    </w:p>
    <w:sectPr w:rsidR="00FC693F" w:rsidRPr="0006063C" w:rsidSect="00034616">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DejaVu Sans" w:hAnsi="DejaVu Sans"/>
      <w:color w:val="29466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DejaVu Sans" w:hAnsi="DejaVu Sans"/>
      <w:b/>
      <w:bCs/>
      <w:color w:val="29466E"/>
      <w:sz w:val="4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DejaVu Sans" w:hAnsi="DejaVu Sans"/>
      <w:b/>
      <w:bCs/>
      <w:color w:val="B77E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294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29466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8095A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d’animation du pack V9</dc:title>
  <dc:subject>Atelier exercice coordonné, groupes et restitution</dc:subject>
  <dc:creator/>
  <cp:keywords>CPTS, MSP, CDS, CPAM, ARS, SESAN</cp:keywords>
  <dc:description>generated by python-docx</dc:description>
  <cp:lastModifiedBy/>
  <cp:revision>1</cp:revision>
  <dcterms:created xsi:type="dcterms:W3CDTF">2013-12-23T23:15:00Z</dcterms:created>
  <dcterms:modified xsi:type="dcterms:W3CDTF">2013-12-23T23:15:00Z</dcterms:modified>
  <cp:category/>
</cp:coreProperties>
</file>