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B8862F"/>
          <w:sz w:val="26"/>
          <w:szCs w:val="26"/>
        </w:rPr>
        <w:t xml:space="preserve">Annexe au kit CPTS</w:t>
      </w:r>
    </w:p>
    <w:p>
      <w:pPr>
        <w:spacing w:after="240"/>
      </w:pPr>
      <w:r>
        <w:rPr>
          <w:rFonts w:ascii="Georgia" w:cs="Georgia" w:eastAsia="Georgia" w:hAnsi="Georgia"/>
          <w:b/>
          <w:bCs/>
          <w:color w:val="1F4A42"/>
          <w:sz w:val="48"/>
          <w:szCs w:val="48"/>
        </w:rPr>
        <w:t xml:space="preserve">Les outils numériques au service de l'exercice coordonné</w:t>
      </w:r>
    </w:p>
    <w:p>
      <w:pPr>
        <w:spacing w:after="480" w:before="0"/>
      </w:pPr>
      <w:r>
        <w:rPr>
          <w:color w:val="2F6E62"/>
          <w:sz w:val="28"/>
          <w:szCs w:val="28"/>
        </w:rPr>
        <w:t xml:space="preserve">Fiches outils et éléments de langage pour accompagner les CPTS, MSP et centres de santé</w:t>
      </w:r>
    </w:p>
    <w:p>
      <w:pPr>
        <w:spacing w:after="120" w:before="0"/>
      </w:pPr>
      <w:r>
        <w:rPr>
          <w:sz w:val="22"/>
          <w:szCs w:val="22"/>
        </w:rPr>
        <w:t xml:space="preserve">Issu de l'atelier « parcours patient » de la journée exco-num du 05/11.</w:t>
      </w:r>
    </w:p>
    <w:p>
      <w:pPr>
        <w:spacing w:after="120" w:before="0"/>
      </w:pPr>
      <w:r>
        <w:rPr>
          <w:i/>
          <w:iCs/>
          <w:color w:val="6B7A73"/>
          <w:sz w:val="22"/>
          <w:szCs w:val="22"/>
        </w:rPr>
        <w:t xml:space="preserve">Contenu pré-rempli par les organisateurs et vérifié au 5 octobre 2026. Les résultats de l'atelier (consensus, non-consensus, phrases choc) sont à reporter dans les zones grisées après la journée.</w:t>
      </w:r>
    </w:p>
    <w:p>
      <w:r>
        <w:br w:type="page"/>
      </w:r>
    </w:p>
    <w:p>
      <w:pPr>
        <w:pStyle w:val="Heading1"/>
        <w:spacing w:after="160" w:before="240"/>
      </w:pPr>
      <w:r>
        <w:t xml:space="preserve">1. Mode d'emploi</w:t>
      </w:r>
    </w:p>
    <w:p>
      <w:pPr>
        <w:spacing w:after="120" w:before="0"/>
      </w:pPr>
      <w:r>
        <w:t xml:space="preserve">Ce document est organisé par outil. Chaque fiche indique à quoi sert l'outil, qui l'utilise, à quel moment du parcours il intervient, l'objection que les professionnels formulent le plus souvent et un élément de langage pour y répondre. Les éléments de langage ne reposent que sur des faits sourcés ; ils ne contiennent aucun chiffre de gain de temps ou d'usage sans source.</w:t>
      </w:r>
    </w:p>
    <w:p>
      <w:pPr>
        <w:spacing w:after="120" w:before="0"/>
      </w:pPr>
      <w:r>
        <w:t xml:space="preserve">Le statut de chaque information est précisé :</w:t>
      </w:r>
    </w:p>
    <w:p>
      <w:pPr>
        <w:pStyle w:val="ListParagraph"/>
        <w:numPr>
          <w:ilvl w:val="0"/>
          <w:numId w:val="2"/>
        </w:numPr>
        <w:spacing w:after="60"/>
      </w:pPr>
      <w:r>
        <w:rPr>
          <w:b/>
          <w:bCs/>
          <w:color w:val="1F4A42"/>
        </w:rPr>
        <w:t xml:space="preserve">En vigueur</w:t>
      </w:r>
      <w:r>
        <w:t xml:space="preserve"> : règle de droit ou fonctionnement du service applicable à la date indiquée.</w:t>
      </w:r>
    </w:p>
    <w:p>
      <w:pPr>
        <w:pStyle w:val="ListParagraph"/>
        <w:numPr>
          <w:ilvl w:val="0"/>
          <w:numId w:val="2"/>
        </w:numPr>
        <w:spacing w:after="60"/>
      </w:pPr>
      <w:r>
        <w:rPr>
          <w:b/>
          <w:bCs/>
          <w:color w:val="1F4A42"/>
        </w:rPr>
        <w:t xml:space="preserve">Établi</w:t>
      </w:r>
      <w:r>
        <w:t xml:space="preserve"> : fonctionnalité décrite par l'opérateur public ou l'ARS.</w:t>
      </w:r>
    </w:p>
    <w:p>
      <w:pPr>
        <w:pStyle w:val="ListParagraph"/>
        <w:numPr>
          <w:ilvl w:val="0"/>
          <w:numId w:val="2"/>
        </w:numPr>
        <w:spacing w:after="60"/>
      </w:pPr>
      <w:r>
        <w:rPr>
          <w:b/>
          <w:bCs/>
          <w:color w:val="1F4A42"/>
        </w:rPr>
        <w:t xml:space="preserve">Annoncé</w:t>
      </w:r>
      <w:r>
        <w:t xml:space="preserve"> : évolution présentée par l'opérateur, pas encore disponible ou en cours de déploiement.</w:t>
      </w:r>
    </w:p>
    <w:p>
      <w:pPr>
        <w:pStyle w:val="ListParagraph"/>
        <w:numPr>
          <w:ilvl w:val="0"/>
          <w:numId w:val="2"/>
        </w:numPr>
        <w:spacing w:after="60"/>
      </w:pPr>
      <w:r>
        <w:rPr>
          <w:b/>
          <w:bCs/>
          <w:color w:val="1F4A42"/>
        </w:rPr>
        <w:t xml:space="preserve">Usage local</w:t>
      </w:r>
      <w:r>
        <w:t xml:space="preserve"> : pratique possible, non généralisée.</w:t>
      </w:r>
    </w:p>
    <w:p>
      <w:pPr>
        <w:pStyle w:val="ListParagraph"/>
        <w:numPr>
          <w:ilvl w:val="0"/>
          <w:numId w:val="2"/>
        </w:numPr>
        <w:spacing w:after="60"/>
      </w:pPr>
      <w:r>
        <w:rPr>
          <w:b/>
          <w:bCs/>
          <w:color w:val="1F4A42"/>
        </w:rPr>
        <w:t xml:space="preserve">À confirmer</w:t>
      </w:r>
      <w:r>
        <w:t xml:space="preserve"> : point non vérifié ou sources contradictoires (voir partie 5).</w:t>
      </w:r>
    </w:p>
    <w:p>
      <w:pPr>
        <w:spacing w:after="120" w:before="120"/>
      </w:pPr>
      <w:r>
        <w:t xml:space="preserve">Les zones grisées sont vides à dessein : elles recueilleront les conclusions de l'atelier, qui n'existent pas encore à la date de rédaction.</w:t>
      </w:r>
    </w:p>
    <w:p>
      <w:pPr>
        <w:pStyle w:val="Heading1"/>
        <w:spacing w:after="160" w:before="240"/>
      </w:pPr>
      <w:r>
        <w:t xml:space="preserve">2. Les trois parcours de l'atelier</w:t>
      </w:r>
    </w:p>
    <w:p>
      <w:pPr>
        <w:spacing w:after="120" w:before="0"/>
      </w:pPr>
      <w:r>
        <w:rPr>
          <w:b/>
          <w:bCs/>
          <w:color w:val="1F4A42"/>
        </w:rPr>
        <w:t xml:space="preserve">Emilie, 37 ans – périnatalité. </w:t>
      </w:r>
      <w:r>
        <w:t xml:space="preserve">Grossesse suivie par un médecin traitant en MSP et un gynécologue de ville ; diabète gestationnel ; avis de diabétologue ; arrivée en urgence en maternité ; césarienne ; recherche d'une sage-femme pour le retour à domicile ; HAD périnatale puis relais par la PMI.</w:t>
      </w:r>
    </w:p>
    <w:p>
      <w:pPr>
        <w:spacing w:after="120" w:before="0"/>
      </w:pPr>
      <w:r>
        <w:rPr>
          <w:b/>
          <w:bCs/>
          <w:color w:val="1F4A42"/>
        </w:rPr>
        <w:t xml:space="preserve">Monique, 89 ans – personne âgée, chute et sortie d'hospitalisation. </w:t>
      </w:r>
      <w:r>
        <w:t xml:space="preserve">Maladie d'Alzheimer débutante, maintien à domicile avec aide à domicile et infirmier libéral ; chute, urgences, hospitalisation en médecine interne ; hébergement temporaire en EHPAD puis accompagnement renforcé par un centre de ressources territorial.</w:t>
      </w:r>
    </w:p>
    <w:p>
      <w:pPr>
        <w:spacing w:after="120" w:before="0"/>
      </w:pPr>
      <w:r>
        <w:rPr>
          <w:b/>
          <w:bCs/>
          <w:color w:val="1F4A42"/>
        </w:rPr>
        <w:t xml:space="preserve">Philippe, 58 ans – diabète de type 2. </w:t>
      </w:r>
      <w:r>
        <w:t xml:space="preserve">Annonce du diagnostic ; adressage à plusieurs correspondants ; orientation vers le sport-santé ; avis de diabétologue ; formation à domicile par une IPA de la CPTS et organisation du suivi en ville.</w:t>
      </w:r>
    </w:p>
    <w:p>
      <w:r>
        <w:br w:type="page"/>
      </w:r>
    </w:p>
    <w:p>
      <w:pPr>
        <w:pStyle w:val="Heading1"/>
        <w:spacing w:after="160" w:before="240"/>
      </w:pPr>
      <w:r>
        <w:t xml:space="preserve">3. Fiches outils</w:t>
      </w:r>
    </w:p>
    <w:p>
      <w:pPr>
        <w:pStyle w:val="Heading2"/>
        <w:keepNext/>
        <w:spacing w:after="120" w:before="280"/>
      </w:pPr>
      <w:r>
        <w:t xml:space="preserve">3.1. DMP – Dossier médical partagé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Conserver et partager les documents de santé du patient : comptes rendus, résultats, lettres de liaison, prescriptions. Les professionnels doivent l'alimenter à chaque acte ou consultation, sauf opposition du patient pour motif légitime (CSP, art. L.1111-15). La consultation suppose l'accord du patient ; un accès d'urgence (« bris de glace ») est prévu pour une personne hors d'état d'exprimer sa volonté, en cas de risque immédiat, sauf opposition préalable (CSP, art. L.1111-17).</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Tout professionnel qui participe à la prise en charge, dans les limites de la matrice d'habilitation ; le patient, depuis Mon espace santé. Les accès des professions du médico-social ne sont pas encore opérationnels (ANS, mars 2026).</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Admission en urgence (Monique, trou n° 2 ; Emilie, trou n° 4) ; sortie d'hospitalisation (Monique, trou n° 3) ; adressage à des correspondants (Philippe, trou n° 2) ; dépôt du compte rendu de téléexpertise.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En vigueur (alimentation, consultation, accès d'urgence). Annoncé et en déploiement : consultation intégrée aux logiciels métiers (Ségur numérique, vague 2, depuis le premier trimestre 2026). À suivre : la matrice d'habilitation (arrêté du 26/10/2023) a été annulée pour un motif de forme par le Conseil d'État le 15/10/2025 ; sa republication est annoncée (ANS, mars 2026).</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I2 – « Je ne retrouve pas les documents dans le DMP. »</w:t>
            </w:r>
          </w:p>
          <w:p>
            <w:pPr>
              <w:spacing w:after="40" w:before="0"/>
            </w:pPr>
            <w:r>
              <w:rPr>
                <w:b/>
                <w:bCs/>
                <w:i/>
                <w:iCs/>
                <w:color w:val="C0392B"/>
              </w:rPr>
              <w:t xml:space="preserve">I4 – « Sans le consentement du patient, je ne peux pas ouvrir son DMP aux urgences.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I2. </w:t>
            </w:r>
            <w:r>
              <w:t xml:space="preserve">La consultation du DMP intégrée au logiciel métier, avec tri et filtres, arrive avec la vague 2 du Ségur numérique, déployée progressivement depuis le premier trimestre 2026 ; en attendant, elle passe par le service web du DMP. Le dossier se remplit : 428 millions de documents y ont été versés en 2025 selon l'ANS, et les comptes rendus de biologie, de consultation et d'imagerie sont les plus consultés par les professionnels.</w:t>
            </w:r>
          </w:p>
          <w:p>
            <w:pPr>
              <w:spacing w:after="80" w:before="0"/>
            </w:pPr>
            <w:r>
              <w:rPr>
                <w:i/>
                <w:iCs/>
                <w:color w:val="6B7A73"/>
                <w:sz w:val="18"/>
                <w:szCs w:val="18"/>
              </w:rPr>
              <w:t xml:space="preserve">Statut : Annoncé, en déploiement (consultation intégrée) ; chiffre ANS de mars 2026.</w:t>
            </w:r>
          </w:p>
          <w:p>
            <w:pPr>
              <w:spacing w:after="60" w:before="0"/>
            </w:pPr>
            <w:r>
              <w:rPr>
                <w:b/>
                <w:bCs/>
                <w:color w:val="C0392B"/>
              </w:rPr>
              <w:t xml:space="preserve">I4. </w:t>
            </w:r>
            <w:r>
              <w:t xml:space="preserve">La loi prévoit précisément ce cas : un professionnel peut accéder au DMP d'une personne hors d'état d'exprimer sa volonté, en présence d'un risque immédiat pour sa santé, sauf si elle s'y est opposée auparavant (CSP, art. L.1111-17). L'accès est tracé et le patient en est notifié. Le patient peut bloquer l'accès du SAMU, l'accès d'urgence des autres professionnels ou l'accès d'urgence à ses documents masqués.</w:t>
            </w:r>
          </w:p>
          <w:p>
            <w:pPr>
              <w:spacing w:after="80" w:before="0"/>
            </w:pPr>
            <w:r>
              <w:rPr>
                <w:i/>
                <w:iCs/>
                <w:color w:val="6B7A73"/>
                <w:sz w:val="18"/>
                <w:szCs w:val="18"/>
              </w:rPr>
              <w:t xml:space="preserve">Statut : En vigueur.</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CSP, art. L.1111-15 (alimentation du DMP à chaque acte ou consultation, sauf opposition pour motif légitime), cité in ANS, Référentiel de sécurité DMP v0.7 ; CSP, art. L.1111-17 (I : accès au DMP d'une personne hors d'état d'exprimer sa volonté, risque immédiat, sauf opposition préalable), cité in dossier documentaire de la décision QPC n° 2024-1101 du 12/09/2024 ; ANS / Délégation au numérique en santé, JNMS, atelier n° 14 « Mon espace santé : état des lieux et perspectives », 10/03/2026</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3.2. Mon espace santé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L'espace numérique de santé de chaque assuré : dossier médical (le DMP vu par le patient), messagerie de santé, profil médical (antécédents, allergies, personnes à prévenir, personne de confiance, directives anticipées), agenda de prévention, catalogue de services référencés, profils des enfants gérés par les parents.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Le patient ; les parents pour leurs enfants mineurs. Les professionnels y accèdent par le DMP et écrivent au patient depuis leur MSSanté : le patient peut seulement répondre, sauf à sa pharmacie, à laquelle il peut écrire directement depuis mi-mai 2023. Un accès délégué à un aidant est prévu par la loi n° 2026-404 du 26/05/2026 ; sa mise en production n'est pas confirmée.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Annonce d'un diagnostic et partage des résultats (Philippe, trou n° 1) ; arrivée en maternité, en alternative au DMP (Emilie, trou n° 4) ; personne à prévenir aux urgences (Monique, trou n° 2) ; suivi du nouveau-né (Emilie, moment 12).</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En vigueur (fonctionnement du service). Annoncé : délégation d'accès à un aidant. Point non concordant entre sources ANS : accès direct des professionnels au profil médical (voir partie 5).</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I5 – « Si j'écris à mes patients sur Mon espace santé, ils vont m'inonder de messages.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I5. </w:t>
            </w:r>
            <w:r>
              <w:t xml:space="preserve">Un patient ne peut pas écrire à un professionnel qui ne l'a pas contacté d'abord, et le professionnel peut clore l'échange à tout moment en envoyant un message dont l'objet est [FIN] (ANS, FAQ du 03/09/2025). La messagerie n'est pas destinée à la prise de rendez-vous. Seule exception : le patient peut adresser directement une ordonnance à sa pharmacie, depuis mi-mai 2023.</w:t>
            </w:r>
          </w:p>
          <w:p>
            <w:pPr>
              <w:spacing w:after="80" w:before="0"/>
            </w:pPr>
            <w:r>
              <w:rPr>
                <w:i/>
                <w:iCs/>
                <w:color w:val="6B7A73"/>
                <w:sz w:val="18"/>
                <w:szCs w:val="18"/>
              </w:rPr>
              <w:t xml:space="preserve">Statut : En vigueur (fonctionnement du service).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ANS, Doctrine du numérique en santé, fiche Mon espace santé, consultée le 05/10/2026 ; ANS, FAQ « En tant que professionnel habilité… communication avec les patients via MSSanté », mise à jour du 03/09/2025 ; ANS, page « Mon espace santé – Professionnel de santé » (exception pharmacie depuis mi-mai 2023), consultée le 05/10/2026 ; ANS / Délégation au numérique en santé, JNMS, atelier n° 14 « Mon espace santé : état des lieux et perspectives », 10/03/2026 ; Loi n° 2026-404 du 26/05/2026 visant à garantir l'égal accès de tous à l'accompagnement et aux soins palliatifs (délégation d'accès à l'espace numérique de santé) ; présentation : Weka (éditeur privé), 26/05/2026</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3.3. MSSanté – Messagerie sécurisée de santé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Échanger, dans l'Espace de confiance, des documents et des données de santé nominatives entre professionnels et structures ; écrire à un patient sur sa messagerie Mon espace santé.</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Professionnels de santé, établissements, structures médico-sociales, officines, depuis leur logiciel ou un webmail d'opérateur.</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Lettre de liaison de sortie, transmise le jour même au médecin traitant et au praticien adresseur (CSP, art. R.1112-1-2 ; Monique, trou n° 3) ; courriers d'adressage (Philippe, trou n° 2) ; envoi des éléments d'une téléexpertise (Emilie, trou n° 2 ; Philippe, trou n° 4).</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Établi.</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I6 – « WhatsApp, c'est plus simple : tout le monde l'a déjà.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I6. </w:t>
            </w:r>
            <w:r>
              <w:t xml:space="preserve">Les informations de santé échangées entre professionnels restent couvertes par le secret et doivent circuler par des moyens qui en garantissent la confidentialité (CSP, art. L.1110-4). Le tchat de Santélien offre la même instantanéité, sur mobile et gratuitement, dans un cadre que l'ARS présente comme conforme à l'échange de données de santé, et il est rattaché au dossier du patient.</w:t>
            </w:r>
          </w:p>
          <w:p>
            <w:pPr>
              <w:spacing w:after="80" w:before="0"/>
            </w:pPr>
            <w:r>
              <w:rPr>
                <w:i/>
                <w:iCs/>
                <w:color w:val="6B7A73"/>
                <w:sz w:val="18"/>
                <w:szCs w:val="18"/>
              </w:rPr>
              <w:t xml:space="preserve">Statut : En vigueur (cadre juridique) ; service régional disponible depuis mai 2024.</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CSP, art. R.1112-1-2, issu du décret n° 2016-995 du 20/07/2016 ; HAS, certification 2025, critère 1.2-04 ; ANS, fiche utilisateur MSSanté « Professionnel de santé libéral » (messagerie de Mon espace santé)</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3.4. Santélien et son tchat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Le dossier de coordination régional francilien : cercle de soins (intervenants, structures et aidants, avec leurs coordonnées), cahier de liaison, tâches, listes de travail, sollicitation d'une équipe ressource, notifications ; tchat sécurisé, disponible depuis mai 2024. Interfaçage progressif avec les logiciels hospitaliers, notamment de l'AP-HP, et de ville.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Tous les professionnels des champs sanitaire, médico-social et social, en ville et en établissement, en Île-de-France ; gratuit ; création de compte simplifiée avec la carte e-CPS. Les aidants figurent dans le cercle de soins comme contacts ; un accès patient est annoncé.</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Coordination au long cours autour d'un patient (Emilie, trou n° 1 ; Philippe, trou n° 5 ; Monique, trous n° 1 et n° 5) ; recherche d'un relais en ville par la CPTS (Emilie, trou n° 5) ; information de l'infirmier à la sortie (Monique, trou n° 3).</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Établi (fonctionnalités décrites par l'ARS au 22/07/2025). Annoncé : accès patient, parcours thématiques. À confirmer : comptes pour les intervenants d'aide à domicile.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I7 – « Le gynéco n'est pas dans notre MSP : il n'a pas notre outil. »</w:t>
            </w:r>
          </w:p>
          <w:p>
            <w:pPr>
              <w:spacing w:after="40" w:before="0"/>
            </w:pPr>
            <w:r>
              <w:rPr>
                <w:b/>
                <w:bCs/>
                <w:i/>
                <w:iCs/>
                <w:color w:val="C0392B"/>
              </w:rPr>
              <w:t xml:space="preserve">I10 – « Je ne sais jamais qui intervient chez le patient, ni comment les joindre. »</w:t>
            </w:r>
          </w:p>
          <w:p>
            <w:pPr>
              <w:spacing w:after="40" w:before="0"/>
            </w:pPr>
            <w:r>
              <w:rPr>
                <w:b/>
                <w:bCs/>
                <w:i/>
                <w:iCs/>
                <w:color w:val="C0392B"/>
              </w:rPr>
              <w:t xml:space="preserve">I1 – « Les infirmiers libéraux ne sont pas prévenus de la sortie d'hospitalisation. »</w:t>
            </w:r>
          </w:p>
          <w:p>
            <w:pPr>
              <w:spacing w:after="40" w:before="0"/>
            </w:pPr>
            <w:r>
              <w:rPr>
                <w:b/>
                <w:bCs/>
                <w:i/>
                <w:iCs/>
                <w:color w:val="C0392B"/>
              </w:rPr>
              <w:t xml:space="preserve">I3 – « Ça me prend trop de temps.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I7. </w:t>
            </w:r>
            <w:r>
              <w:t xml:space="preserve">Santélien n'est pas l'outil d'une MSP : il est ouvert gratuitement à tous les professionnels franciliens, en ville comme à l'hôpital, et la création de compte est simplifiée pour les détenteurs d'une carte e-CPS (ARS Île-de-France). À défaut, MSSanté permet d'écrire à tout professionnel inscrit dans l'Espace de confiance.</w:t>
            </w:r>
          </w:p>
          <w:p>
            <w:pPr>
              <w:spacing w:after="80" w:before="0"/>
            </w:pPr>
            <w:r>
              <w:rPr>
                <w:i/>
                <w:iCs/>
                <w:color w:val="6B7A73"/>
                <w:sz w:val="18"/>
                <w:szCs w:val="18"/>
              </w:rPr>
              <w:t xml:space="preserve">Statut : Établi.</w:t>
            </w:r>
          </w:p>
          <w:p>
            <w:pPr>
              <w:spacing w:after="60" w:before="0"/>
            </w:pPr>
            <w:r>
              <w:rPr>
                <w:b/>
                <w:bCs/>
                <w:color w:val="C0392B"/>
              </w:rPr>
              <w:t xml:space="preserve">I10. </w:t>
            </w:r>
            <w:r>
              <w:t xml:space="preserve">C'est la fonction du cercle de soins de Santélien : visualiser les intervenants autour d'un patient, professionnels, structures et aidants, avec leurs coordonnées (ARS Île-de-France). Il ne vaut que s'il est tenu à jour : la vraie question est de savoir qui l'alimente dans votre organisation.</w:t>
            </w:r>
          </w:p>
          <w:p>
            <w:pPr>
              <w:spacing w:after="80" w:before="0"/>
            </w:pPr>
            <w:r>
              <w:rPr>
                <w:i/>
                <w:iCs/>
                <w:color w:val="6B7A73"/>
                <w:sz w:val="18"/>
                <w:szCs w:val="18"/>
              </w:rPr>
              <w:t xml:space="preserve">Statut : Établi.</w:t>
            </w:r>
          </w:p>
          <w:p>
            <w:pPr>
              <w:spacing w:after="60" w:before="0"/>
            </w:pPr>
            <w:r>
              <w:rPr>
                <w:b/>
                <w:bCs/>
                <w:color w:val="C0392B"/>
              </w:rPr>
              <w:t xml:space="preserve">I1. </w:t>
            </w:r>
            <w:r>
              <w:t xml:space="preserve">C'est un fait que la réglementation ne prévoit la transmission de la lettre de liaison, le jour de la sortie, qu'au médecin traitant et au praticien qui a adressé le patient (CSP, art. R.1112-1-2). L'infirmier doit donc être inscrit ailleurs : dans le cercle de soins Santélien du patient, outil que l'ARS présente comme progressivement connecté aux logiciels hospitaliers, notamment de l'AP-HP, pour signaler hospitalisations et sorties. La lettre de liaison est par ailleurs versée au DMP, que l'infirmier peut consulter avec l'accord du patient, dans les limites de la matrice d'habilitation. Organiser cette information est un objet naturel des protocoles ville-hôpital d'une CPTS.</w:t>
            </w:r>
          </w:p>
          <w:p>
            <w:pPr>
              <w:spacing w:after="80" w:before="0"/>
            </w:pPr>
            <w:r>
              <w:rPr>
                <w:i/>
                <w:iCs/>
                <w:color w:val="6B7A73"/>
                <w:sz w:val="18"/>
                <w:szCs w:val="18"/>
              </w:rPr>
              <w:t xml:space="preserve">Statut : Établi (règle de transmission) ; annoncé et progressif (interfaçage Santélien).</w:t>
            </w:r>
          </w:p>
          <w:p>
            <w:pPr>
              <w:spacing w:after="60" w:before="0"/>
            </w:pPr>
            <w:r>
              <w:rPr>
                <w:b/>
                <w:bCs/>
                <w:color w:val="C0392B"/>
              </w:rPr>
              <w:t xml:space="preserve">I3. </w:t>
            </w:r>
            <w:r>
              <w:t xml:space="preserve">L'alimentation du DMP est largement automatisée par les logiciels référencés Ségur, et l'information du patient n'est à donner qu'une fois dans son suivi (ANS). Santélien reprend ce qui se fait déjà au téléphone ou sur un cahier, avec une trace partagée. Nous n'avons pas de mesure de gain de temps à opposer : si la question est déterminante pour votre équipe, objectivons-la sur un parcours précis.</w:t>
            </w:r>
          </w:p>
          <w:p>
            <w:pPr>
              <w:spacing w:after="80" w:before="0"/>
            </w:pPr>
            <w:r>
              <w:rPr>
                <w:i/>
                <w:iCs/>
                <w:color w:val="6B7A73"/>
                <w:sz w:val="18"/>
                <w:szCs w:val="18"/>
              </w:rPr>
              <w:t xml:space="preserve">Statut : Établi (règles d'alimentation) ; aucun chiffre de gain de temps disponible.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ARS Île-de-France, « Santélien : comment ça marche ? », 22/07/2025</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3.5. Télésanté : téléconsultation, téléexpertise, télésoin, télésurveillance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Téléconsultation : consultation à distance en vidéo entre le patient et un professionnel médical. Téléexpertise : avis d'un médecin ou d'une sage-femme sollicité par un professionnel sur le dossier d'un patient, hors de sa présence et avec son accord. Télésoin : prise en charge à distance par un pharmacien ou un auxiliaire médical. Télésurveillance : suivi des données d'un patient par un dispositif médical numérique, avec un opérateur déclaré.</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Téléexpertise : requérant, tout professionnel de santé ; requis, médecins et sages-femmes ; tous les patients. Télésurveillance : opérateur déclaré à l'ARS, équipe comprenant au moins un médecin.</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Avis spécialisé sans attendre un rendez-vous (Emilie, trou n° 2 ; Philippe, trou n° 4) ; suivi à distance sous insuline (Emilie, trou n° 3) ; visite de préadmission (Monique, moment 10).</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En vigueur : téléexpertise ouverte à tous les patients ; télésurveillance en droit commun depuis le 01/07/2023 pour des indications listées, dont le diabète et le diabète gestationnel. La convention médicale 2024-2029 (art. 79-1) permet la cotation d'un avis ponctuel de consultant dans les trois mois suivant une téléexpertise demandée par le médecin traitant. Montants non repris ici.</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I8 – « La téléexpertise, c'est compliqué et ce n'est pas rémunéré.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I8. </w:t>
            </w:r>
            <w:r>
              <w:t xml:space="preserve">La téléexpertise est ouverte à tous les patients, facturable par le requérant comme par le requis, et un envoi par messagerie sécurisée suffit, sans vidéo (ARS Bretagne). La convention médicale de 2024 permet en outre au spécialiste de coter un avis ponctuel de consultant s'il doit voir le patient dans les trois mois qui suivent une téléexpertise demandée par le médecin traitant (art. 79-1).</w:t>
            </w:r>
          </w:p>
          <w:p>
            <w:pPr>
              <w:spacing w:after="80" w:before="0"/>
            </w:pPr>
            <w:r>
              <w:rPr>
                <w:i/>
                <w:iCs/>
                <w:color w:val="6B7A73"/>
                <w:sz w:val="18"/>
                <w:szCs w:val="18"/>
              </w:rPr>
              <w:t xml:space="preserve">Statut : En vigueur ; montants non repris ici (à vérifier sur ameli.fr avant diffusion).</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HAS, « Avec la télémédecine, une prise en charge rapide de vos patients » ; ARS Bretagne, mémo « Téléexpertise – mode d'emploi » ; Convention médicale 2024-2029, art. 79-1 (JO du 21/06/2024) ; LFSS 2022, art. 36 ; décret n° 2022-1767 du 30/12/2022 ; arrêtés du 22/06/2023 (lignes génériques, dont diabète et diabète gestationnel) ; droit commun depuis le 01/07/2023 (sante.fr, ministère)</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3.6. ViaTrajectoire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Le service public national d'orientation et d'admission : SMR, HAD, unités de soins palliatifs, EHPAD, résidences autonomie, établissements pour personnes handicapées ; dossier d'admission unique et tableaux de suivi. Volet PRADO : l'établissement adresse la demande à la CPAM.</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Établissements et services prescripteurs, structures receveuses, conseillers de l'Assurance Maladie pour PRADO ; un module usager existe.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Sortie d'hospitalisation vers un hébergement temporaire (Monique, trou n° 4) ; demande d'admission en HAD (Emilie, moment 11).</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Établi (service). Doctrine CNAM : 100 % des demandes PRADO via ViaTrajectoire fin 2026 ; au-delà, les demandes présentées autrement ne seront plus traitées (SantExpo, 19/05/2026). Non établi : volet PRADO maternité. À confirmer en Île-de-France : orientation HTSH par ViaTrajectoire ; présence des HAD périnatales.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I9 – « ViaTrajectoire, c'est un outil de plus : un coup de fil va plus vite.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I9. </w:t>
            </w:r>
            <w:r>
              <w:t xml:space="preserve">ViaTrajectoire est le service public national d'orientation, gratuit, avec un dossier d'admission unique partagé par les professionnels habilités et des tableaux de suivi en temps réel. Pour PRADO, la CNAM a indiqué que les demandes non présentées par ViaTrajectoire après fin 2026 ne seront plus traitées par les conseillers de l'Assurance Maladie.</w:t>
            </w:r>
          </w:p>
          <w:p>
            <w:pPr>
              <w:spacing w:after="80" w:before="0"/>
            </w:pPr>
            <w:r>
              <w:rPr>
                <w:i/>
                <w:iCs/>
                <w:color w:val="6B7A73"/>
                <w:sz w:val="18"/>
                <w:szCs w:val="18"/>
              </w:rPr>
              <w:t xml:space="preserve">Statut : Établi (service) ; doctrine CNAM annoncée en mai 2026.</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ANS / CNAM / SESAN, SantExpo 2026, atelier « ViaTrajectoire et PRADO », 19/05/2026 ; ARS Île-de-France, fiche HTSH et page « Structuration du dispositif HTSH en Île-de-France » (organisation par filières gériatriques depuis le 01/05/2023) ; DGCS, note d'information du 08/07/2024</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3.7. ROR et Maillage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Le ROR décrit l'offre de santé d'un territoire (sanitaire, médico-sociale, sociale). Maillage, portail départemental santé-autonomie, s'appuie sur le ROR pour la recherche d'offre et la cartographie, et diffuse des actualités.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Maillage est réservé aux professionnels et animé par les dispositifs d'appui à la coordination (DAC). Il n'est pas destiné au public.</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Identifier une structure ou un dispositif (Monique, trou n° 4 ; Philippe, trou n° 3). Maillage sert à trouver l'offre, pas à suivre un patient.</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Établi. À vérifier : référencement des Maisons Sport Santé.</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I11 – « Les ressources du territoire, je les cherche sur Internet.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I11. </w:t>
            </w:r>
            <w:r>
              <w:t xml:space="preserve">Maillage recense, département par département, l'offre sanitaire, médico-sociale et sociale à partir du ROR ; il est réservé aux professionnels et animé par les dispositifs d'appui à la coordination (SESAN). La CPTS complète avec ses propres protocoles et contacts locaux.</w:t>
            </w:r>
          </w:p>
          <w:p>
            <w:pPr>
              <w:spacing w:after="80" w:before="0"/>
            </w:pPr>
            <w:r>
              <w:rPr>
                <w:i/>
                <w:iCs/>
                <w:color w:val="6B7A73"/>
                <w:sz w:val="18"/>
                <w:szCs w:val="18"/>
              </w:rPr>
              <w:t xml:space="preserve">Statut : Établi.</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SESAN (GRADeS Île-de-France), page « Maillage », consultée le 05/10/2026</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3.8. Ressources de la CPTS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Ce que la CPTS met à disposition de ses membres : annuaire, protocoles et parcours locaux, offre de prévention (par exemple sport-santé), contacts du coordinateur.</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Membres de la CPTS ; partenaires selon les choix de la CPTS. Les supports varient : site public, espace adhérents, solution commerciale (Plexus Santé en est un exemple).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Orienter un patient vers une ressource locale (Philippe, trou n° 3) ; trouver un professionnel disponible (Emilie, trou n° 5 ; Monique, moment 12).</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Usage local, non généralisé. Plexus : source commerciale. « ATOMES », cité dans le scénario de travail, n'a pas été identifié.</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I11 – « Les ressources du territoire, je les cherche sur Internet.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I11. </w:t>
            </w:r>
            <w:r>
              <w:t xml:space="preserve">Maillage recense, département par département, l'offre sanitaire, médico-sociale et sociale à partir du ROR ; il est réservé aux professionnels et animé par les dispositifs d'appui à la coordination (SESAN). La CPTS complète avec ses propres protocoles et contacts locaux.</w:t>
            </w:r>
          </w:p>
          <w:p>
            <w:pPr>
              <w:spacing w:after="80" w:before="0"/>
            </w:pPr>
            <w:r>
              <w:rPr>
                <w:i/>
                <w:iCs/>
                <w:color w:val="6B7A73"/>
                <w:sz w:val="18"/>
                <w:szCs w:val="18"/>
              </w:rPr>
              <w:t xml:space="preserve">Statut : Établi.</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Plexus Santé (source commerciale) : fiche Capterra ; formulaires d'adhésion de CPTS mentionnant l'outil</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3.9. Ordonnance numérique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Dématérialiser la prescription : elle est enregistrée dans une base sécurisée de l'Assurance Maladie et le pharmacien la retrouve grâce au QR code de l'ordonnance.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Prescripteurs de ville (médecins, chirurgiens-dentistes, sages-femmes en priorité) et officines ; extension progressive aux autres professions et aux établissements.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Prescription à distance ou en consultation (Emilie, trou n° 3 ; Philippe, moment 6).</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En vigueur : obligation au plus tard le 31/12/2024 (ordonnance n° 2020-1408 ; décret n° 2023-1222), sans sanction prévue. Déploiement inachevé : l'ANS présente 2026 comme l'année de généralisation chez les prescripteurs et les officines.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I12 – « L'ordonnance numérique ne marche pas avec mon logiciel ou ma pharmacie.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I12. </w:t>
            </w:r>
            <w:r>
              <w:t xml:space="preserve">L'obligation de prescrire par voie numérique s'applique depuis le 1er janvier 2025 (ordonnance n° 2020-1408, décret n° 2023-1222), sans sanction prévue, et le déploiement reste progressif : l'ANS présente 2026 comme l'année de généralisation chez les prescripteurs et les officines. La première question à poser porte sur la version du logiciel ; les délégués numériques en santé de l'Assurance Maladie accompagnent les professionnels.</w:t>
            </w:r>
          </w:p>
          <w:p>
            <w:pPr>
              <w:spacing w:after="80" w:before="0"/>
            </w:pPr>
            <w:r>
              <w:rPr>
                <w:i/>
                <w:iCs/>
                <w:color w:val="6B7A73"/>
                <w:sz w:val="18"/>
                <w:szCs w:val="18"/>
              </w:rPr>
              <w:t xml:space="preserve">Statut : En vigueur (obligation) ; déploiement inachevé.</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Ordonnance n° 2020-1408 du 18/11/2020 ; décret n° 2023-1222 du 20/12/2023 ; ANS, Doctrine, fiche Ordonnance numérique (consultée le 05/10/2026) ; MACSF (éditeur privé) sur l'absence de sanction ; HAS, note de cadrage « Structuration de la posologie des médicaments » (QR code de l'ordonnance numérique)</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3.10. Le téléphone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Joindre immédiatement un professionnel ou une structure.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Tous.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Acceptable quand l'urgence ou la nature de l'échange le justifie (avis rapide, alerte, prise de contact). Il ne laisse aucune trace partagée : la décision doit ensuite être consignée dans le dossier ou l'outil de coordination.</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Sans objet.</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I9 – « ViaTrajectoire, c'est un outil de plus : un coup de fil va plus vite. »</w:t>
            </w:r>
          </w:p>
          <w:p>
            <w:pPr>
              <w:spacing w:after="40" w:before="0"/>
            </w:pPr>
            <w:r>
              <w:rPr>
                <w:i/>
                <w:iCs/>
                <w:color w:val="6B7A73"/>
              </w:rPr>
              <w:t xml:space="preserve">L'irritant I9 oppose le téléphone à ViaTrajectoire.</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i/>
                <w:iCs/>
                <w:color w:val="6B7A73"/>
              </w:rPr>
              <w:t xml:space="preserve">Voir la fiche ViaTrajectoire.</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3.11. Gmail et messageries grand public (carte piège)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Messagerie électronique ou instantanée grand public (Gmail, WhatsApp, SMS).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À exclure pour toute donnée de santé nominative. Elle n'est pas interdite en soi : demander une liste de ressources sans donnée patient ne pose pas de difficulté (Philippe, trou n° 3).</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Aucun moment clé de l'atelier ne la retient pour échanger sur un patient.</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Cadre juridique : secret professionnel et échange d'informations entre professionnels (CSP, art. L.1110-4).</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b/>
                <w:bCs/>
                <w:i/>
                <w:iCs/>
                <w:color w:val="C0392B"/>
              </w:rPr>
              <w:t xml:space="preserve">I6 – « WhatsApp, c'est plus simple : tout le monde l'a déjà.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rPr>
                <w:b/>
                <w:bCs/>
                <w:color w:val="C0392B"/>
              </w:rPr>
              <w:t xml:space="preserve">I6. </w:t>
            </w:r>
            <w:r>
              <w:t xml:space="preserve">Les informations de santé échangées entre professionnels restent couvertes par le secret et doivent circuler par des moyens qui en garantissent la confidentialité (CSP, art. L.1110-4). Le tchat de Santélien offre la même instantanéité, sur mobile et gratuitement, dans un cadre que l'ARS présente comme conforme à l'échange de données de santé, et il est rattaché au dossier du patient.</w:t>
            </w:r>
          </w:p>
          <w:p>
            <w:pPr>
              <w:spacing w:after="80" w:before="0"/>
            </w:pPr>
            <w:r>
              <w:rPr>
                <w:i/>
                <w:iCs/>
                <w:color w:val="6B7A73"/>
                <w:sz w:val="18"/>
                <w:szCs w:val="18"/>
              </w:rPr>
              <w:t xml:space="preserve">Statut : En vigueur (cadre juridique) ; service régional disponible depuis mai 2024.</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2"/>
        <w:keepNext/>
        <w:spacing w:after="120" w:before="280"/>
      </w:pPr>
      <w:r>
        <w:t xml:space="preserve">3.12. Doctolib (solution commerciale)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quoi il sert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Plateforme privée de prise de rendez-vous et de services aux professionnels, dont une messagerie instantanée entre professionnels (Doctolib Siilo, également présentée sous le nom « Doctolib Connect »).</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Qui l'utilise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Professionnels abonnés et leurs patients.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À quel moment du parcours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Prise de rendez-vous par le patient. L'atelier ne la retient pas comme outil de coordination ou de transmission d'informations entre professionnels.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Statut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t xml:space="preserve">Source commerciale. Le statut de sa messagerie au regard de l'Espace de confiance MSSanté n'est pas établi par nos sources.</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Irritant fréquent</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i/>
                <w:iCs/>
                <w:color w:val="6B7A73"/>
              </w:rPr>
              <w:t xml:space="preserve">Aucune carte irritant dédiée dans l'atelier.</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Élément de langage</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60" w:before="0"/>
            </w:pPr>
            <w:r>
              <w:t xml:space="preserve">Pour la coordination autour d'un patient, la solution régionale Santélien est gratuite et conçue pour cet usage. Avant d'adopter une messagerie commerciale, la structure doit vérifier sa conformité au cadre de l'échange de données de santé.</w:t>
            </w:r>
          </w:p>
        </w:tc>
      </w:tr>
      <w:tr>
        <w:trPr>
          <w:cantSplit/>
        </w:trPr>
        <w:tc>
          <w:tcPr>
            <w:tcW w:type="dxa" w:w="2500"/>
            <w:tcBorders>
              <w:top w:val="single" w:color="B9C4BC" w:sz="4"/>
              <w:left w:val="single" w:color="B9C4BC" w:sz="4"/>
              <w:bottom w:val="single" w:color="B9C4BC" w:sz="4"/>
              <w:right w:val="single" w:color="B9C4BC" w:sz="4"/>
            </w:tcBorders>
            <w:shd w:fill="E7F0EC" w:color="auto" w:val="clear"/>
            <w:tcMar>
              <w:top w:type="dxa" w:w="80"/>
              <w:left w:type="dxa" w:w="120"/>
              <w:bottom w:type="dxa" w:w="80"/>
              <w:right w:type="dxa" w:w="120"/>
            </w:tcMar>
          </w:tcPr>
          <w:p>
            <w:pPr>
              <w:spacing w:after="40" w:before="0"/>
            </w:pPr>
            <w:r>
              <w:rPr>
                <w:b/>
                <w:bCs/>
                <w:color w:val="1F4A42"/>
              </w:rPr>
              <w:t xml:space="preserve">Sources</w:t>
            </w:r>
          </w:p>
        </w:tc>
        <w:tc>
          <w:tcPr>
            <w:tcW w:type="dxa" w:w="7138"/>
            <w:tcBorders>
              <w:top w:val="single" w:color="B9C4BC" w:sz="4"/>
              <w:left w:val="single" w:color="B9C4BC" w:sz="4"/>
              <w:bottom w:val="single" w:color="B9C4BC" w:sz="4"/>
              <w:right w:val="single" w:color="B9C4BC" w:sz="4"/>
            </w:tcBorders>
            <w:tcMar>
              <w:top w:type="dxa" w:w="80"/>
              <w:left w:type="dxa" w:w="120"/>
              <w:bottom w:type="dxa" w:w="80"/>
              <w:right w:type="dxa" w:w="120"/>
            </w:tcMar>
          </w:tcPr>
          <w:p>
            <w:pPr>
              <w:spacing w:after="40" w:before="0"/>
            </w:pPr>
            <w:r>
              <w:rPr>
                <w:color w:val="6B7A73"/>
                <w:sz w:val="18"/>
                <w:szCs w:val="18"/>
              </w:rPr>
              <w:t xml:space="preserve">Doctolib (source commerciale) : communiqué d'acquisition de Siilo (02/03/2023), fiche App Store « Doctolib Connect (Siilo) » ; Le Quotidien du pharmacien (presse professionnelle)</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de l'atelier (à compléter après la journée)</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et questions ouvertes (à compléter après la journée)</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1"/>
        <w:spacing w:after="160" w:before="240"/>
      </w:pPr>
      <w:r>
        <w:t xml:space="preserve">4. Résultats de l'atelier (à compléter après la journée)</w:t>
      </w:r>
    </w:p>
    <w:p>
      <w:pPr>
        <w:pStyle w:val="Heading2"/>
        <w:keepNext/>
        <w:spacing w:after="120" w:before="280"/>
      </w:pPr>
      <w:r>
        <w:t xml:space="preserve">4.1. Phrases choc des groupes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700"/>
        <w:gridCol w:w="2738"/>
      </w:tblGrid>
      <w:tr>
        <w:trPr>
          <w:tblHeader/>
        </w:trPr>
        <w:tc>
          <w:tcPr>
            <w:tcW w:type="dxa" w:w="1300"/>
            <w:tcBorders>
              <w:top w:val="single" w:color="B9C4BC" w:sz="4"/>
              <w:left w:val="single" w:color="B9C4BC" w:sz="4"/>
              <w:bottom w:val="single" w:color="B9C4BC" w:sz="4"/>
              <w:right w:val="single" w:color="B9C4BC" w:sz="4"/>
            </w:tcBorders>
            <w:shd w:fill="1F4A42" w:color="auto" w:val="clear"/>
            <w:tcMar>
              <w:top w:type="dxa" w:w="80"/>
              <w:left w:type="dxa" w:w="120"/>
              <w:bottom w:type="dxa" w:w="80"/>
              <w:right w:type="dxa" w:w="120"/>
            </w:tcMar>
          </w:tcPr>
          <w:p>
            <w:pPr>
              <w:spacing w:after="20" w:before="0"/>
            </w:pPr>
            <w:r>
              <w:rPr>
                <w:b/>
                <w:bCs/>
                <w:color w:val="FFFFFF"/>
              </w:rPr>
              <w:t xml:space="preserve">Groupe</w:t>
            </w:r>
          </w:p>
        </w:tc>
        <w:tc>
          <w:tcPr>
            <w:tcW w:type="dxa" w:w="1900"/>
            <w:tcBorders>
              <w:top w:val="single" w:color="B9C4BC" w:sz="4"/>
              <w:left w:val="single" w:color="B9C4BC" w:sz="4"/>
              <w:bottom w:val="single" w:color="B9C4BC" w:sz="4"/>
              <w:right w:val="single" w:color="B9C4BC" w:sz="4"/>
            </w:tcBorders>
            <w:shd w:fill="1F4A42" w:color="auto" w:val="clear"/>
            <w:tcMar>
              <w:top w:type="dxa" w:w="80"/>
              <w:left w:type="dxa" w:w="120"/>
              <w:bottom w:type="dxa" w:w="80"/>
              <w:right w:type="dxa" w:w="120"/>
            </w:tcMar>
          </w:tcPr>
          <w:p>
            <w:pPr>
              <w:spacing w:after="20" w:before="0"/>
            </w:pPr>
            <w:r>
              <w:rPr>
                <w:b/>
                <w:bCs/>
                <w:color w:val="FFFFFF"/>
              </w:rPr>
              <w:t xml:space="preserve">Frise</w:t>
            </w:r>
          </w:p>
        </w:tc>
        <w:tc>
          <w:tcPr>
            <w:tcW w:type="dxa" w:w="3700"/>
            <w:tcBorders>
              <w:top w:val="single" w:color="B9C4BC" w:sz="4"/>
              <w:left w:val="single" w:color="B9C4BC" w:sz="4"/>
              <w:bottom w:val="single" w:color="B9C4BC" w:sz="4"/>
              <w:right w:val="single" w:color="B9C4BC" w:sz="4"/>
            </w:tcBorders>
            <w:shd w:fill="1F4A42" w:color="auto" w:val="clear"/>
            <w:tcMar>
              <w:top w:type="dxa" w:w="80"/>
              <w:left w:type="dxa" w:w="120"/>
              <w:bottom w:type="dxa" w:w="80"/>
              <w:right w:type="dxa" w:w="120"/>
            </w:tcMar>
          </w:tcPr>
          <w:p>
            <w:pPr>
              <w:spacing w:after="20" w:before="0"/>
            </w:pPr>
            <w:r>
              <w:rPr>
                <w:b/>
                <w:bCs/>
                <w:color w:val="FFFFFF"/>
              </w:rPr>
              <w:t xml:space="preserve">Phrase choc</w:t>
            </w:r>
          </w:p>
        </w:tc>
        <w:tc>
          <w:tcPr>
            <w:tcW w:type="dxa" w:w="2738"/>
            <w:tcBorders>
              <w:top w:val="single" w:color="B9C4BC" w:sz="4"/>
              <w:left w:val="single" w:color="B9C4BC" w:sz="4"/>
              <w:bottom w:val="single" w:color="B9C4BC" w:sz="4"/>
              <w:right w:val="single" w:color="B9C4BC" w:sz="4"/>
            </w:tcBorders>
            <w:shd w:fill="1F4A42" w:color="auto" w:val="clear"/>
            <w:tcMar>
              <w:top w:type="dxa" w:w="80"/>
              <w:left w:type="dxa" w:w="120"/>
              <w:bottom w:type="dxa" w:w="80"/>
              <w:right w:type="dxa" w:w="120"/>
            </w:tcMar>
          </w:tcPr>
          <w:p>
            <w:pPr>
              <w:spacing w:after="20" w:before="0"/>
            </w:pPr>
            <w:r>
              <w:rPr>
                <w:b/>
                <w:bCs/>
                <w:color w:val="FFFFFF"/>
              </w:rPr>
              <w:t xml:space="preserve">Message retenu pour les CPTS, MSP, CDS</w:t>
            </w:r>
          </w:p>
        </w:tc>
      </w:tr>
      <w:tr>
        <w:trPr>
          <w:trHeight w:val="900" w:hRule="atLeast"/>
        </w:trPr>
        <w:tc>
          <w:tcPr>
            <w:tcW w:type="dxa" w:w="13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19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37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27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r>
      <w:tr>
        <w:trPr>
          <w:trHeight w:val="900" w:hRule="atLeast"/>
        </w:trPr>
        <w:tc>
          <w:tcPr>
            <w:tcW w:type="dxa" w:w="13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19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37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27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r>
      <w:tr>
        <w:trPr>
          <w:trHeight w:val="900" w:hRule="atLeast"/>
        </w:trPr>
        <w:tc>
          <w:tcPr>
            <w:tcW w:type="dxa" w:w="13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19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37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27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r>
      <w:tr>
        <w:trPr>
          <w:trHeight w:val="900" w:hRule="atLeast"/>
        </w:trPr>
        <w:tc>
          <w:tcPr>
            <w:tcW w:type="dxa" w:w="13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19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37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27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r>
      <w:tr>
        <w:trPr>
          <w:trHeight w:val="900" w:hRule="atLeast"/>
        </w:trPr>
        <w:tc>
          <w:tcPr>
            <w:tcW w:type="dxa" w:w="13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19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37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27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r>
      <w:tr>
        <w:trPr>
          <w:trHeight w:val="900" w:hRule="atLeast"/>
        </w:trPr>
        <w:tc>
          <w:tcPr>
            <w:tcW w:type="dxa" w:w="13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19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3700"/>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c>
          <w:tcPr>
            <w:tcW w:type="dxa" w:w="27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120" w:before="0"/>
            </w:pPr>
            <w:r>
              <w:t xml:space="preserve"> </w:t>
            </w:r>
          </w:p>
        </w:tc>
      </w:tr>
    </w:tbl>
    <w:p>
      <w:pPr>
        <w:pStyle w:val="Heading2"/>
        <w:keepNext/>
        <w:spacing w:after="120" w:before="280"/>
      </w:pPr>
      <w:r>
        <w:t xml:space="preserve">4.2. Synthèse transversale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Consensus partagés par plusieurs groupes</w:t>
            </w:r>
          </w:p>
          <w:p>
            <w:pPr>
              <w:spacing w:after="120" w:before="0"/>
            </w:pPr>
            <w:r>
              <w:t xml:space="preserve"> </w:t>
            </w:r>
          </w:p>
          <w:p>
            <w:pPr>
              <w:spacing w:after="120" w:before="0"/>
            </w:pPr>
            <w:r>
              <w:t xml:space="preserve"> </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Non-consensus à instruire</w:t>
            </w:r>
          </w:p>
          <w:p>
            <w:pPr>
              <w:spacing w:after="120" w:before="0"/>
            </w:pPr>
            <w:r>
              <w:t xml:space="preserve"> </w:t>
            </w:r>
          </w:p>
          <w:p>
            <w:pPr>
              <w:spacing w:after="120" w:before="0"/>
            </w:pPr>
            <w:r>
              <w:t xml:space="preserve"> </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Éléments de langage nouveaux ou reformulés par les groupes</w:t>
            </w:r>
          </w:p>
          <w:p>
            <w:pPr>
              <w:spacing w:after="120" w:before="0"/>
            </w:pPr>
            <w:r>
              <w:t xml:space="preserve"> </w:t>
            </w:r>
          </w:p>
          <w:p>
            <w:pPr>
              <w:spacing w:after="120" w:before="0"/>
            </w:pPr>
            <w:r>
              <w:t xml:space="preserve"> </w:t>
            </w:r>
          </w:p>
          <w:p>
            <w:pPr>
              <w:spacing w:after="120" w:before="0"/>
            </w:pPr>
            <w:r>
              <w:t xml:space="preserve"> </w:t>
            </w:r>
          </w:p>
          <w:p>
            <w:pPr>
              <w:spacing w:after="120" w:before="0"/>
            </w:pPr>
            <w:r>
              <w:t xml:space="preserve"> </w:t>
            </w:r>
          </w:p>
          <w:p>
            <w:pPr>
              <w:spacing w:after="120" w:before="0"/>
            </w:pPr>
            <w:r>
              <w:t xml:space="preserve"> </w:t>
            </w:r>
          </w:p>
        </w:tc>
      </w:tr>
    </w:tbl>
    <w:p>
      <w:pPr>
        <w:spacing w:after="60" w:before="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C4BC" w:sz="4"/>
              <w:left w:val="single" w:color="B9C4BC" w:sz="4"/>
              <w:bottom w:val="single" w:color="B9C4BC" w:sz="4"/>
              <w:right w:val="single" w:color="B9C4BC" w:sz="4"/>
            </w:tcBorders>
            <w:shd w:fill="F2F2F2" w:color="auto" w:val="clear"/>
            <w:tcMar>
              <w:top w:type="dxa" w:w="80"/>
              <w:left w:type="dxa" w:w="120"/>
              <w:bottom w:type="dxa" w:w="80"/>
              <w:right w:type="dxa" w:w="120"/>
            </w:tcMar>
          </w:tcPr>
          <w:p>
            <w:pPr>
              <w:spacing w:after="60" w:before="0"/>
            </w:pPr>
            <w:r>
              <w:rPr>
                <w:b/>
                <w:bCs/>
                <w:color w:val="1F4A42"/>
              </w:rPr>
              <w:t xml:space="preserve">Autres irritants relevés sur le terrain (cartes « Autre irritant »)</w:t>
            </w:r>
          </w:p>
          <w:p>
            <w:pPr>
              <w:spacing w:after="120" w:before="0"/>
            </w:pPr>
            <w:r>
              <w:t xml:space="preserve"> </w:t>
            </w:r>
          </w:p>
          <w:p>
            <w:pPr>
              <w:spacing w:after="120" w:before="0"/>
            </w:pPr>
            <w:r>
              <w:t xml:space="preserve"> </w:t>
            </w:r>
          </w:p>
          <w:p>
            <w:pPr>
              <w:spacing w:after="120" w:before="0"/>
            </w:pPr>
            <w:r>
              <w:t xml:space="preserve"> </w:t>
            </w:r>
          </w:p>
          <w:p>
            <w:pPr>
              <w:spacing w:after="120" w:before="0"/>
            </w:pPr>
            <w:r>
              <w:t xml:space="preserve"> </w:t>
            </w:r>
          </w:p>
        </w:tc>
      </w:tr>
    </w:tbl>
    <w:p>
      <w:r>
        <w:br w:type="page"/>
      </w:r>
    </w:p>
    <w:p>
      <w:pPr>
        <w:pStyle w:val="Heading1"/>
        <w:spacing w:after="160" w:before="240"/>
      </w:pPr>
      <w:r>
        <w:t xml:space="preserve">5. Points restant à confirmer</w:t>
      </w:r>
    </w:p>
    <w:p>
      <w:pPr>
        <w:spacing w:after="120" w:before="0"/>
      </w:pPr>
      <w:r>
        <w:t xml:space="preserve">Ces points sont signalés pour que le document ne présente pas comme acquis ce qui ne l'est pas. Ils sont à lever avant diffusion du kit, ou à maintenir avec leur mention.</w:t>
      </w:r>
    </w:p>
    <w:p>
      <w:pPr>
        <w:pStyle w:val="ListParagraph"/>
        <w:numPr>
          <w:ilvl w:val="0"/>
          <w:numId w:val="2"/>
        </w:numPr>
        <w:spacing w:after="60"/>
      </w:pPr>
      <w:r>
        <w:rPr>
          <w:b/>
          <w:bCs/>
          <w:color w:val="1F4A42"/>
        </w:rPr>
        <w:t xml:space="preserve">PRADO maternité et ViaTrajectoire. </w:t>
      </w:r>
      <w:r>
        <w:t xml:space="preserve">PRADO est un service de l'Assurance Maladie, proposé par ses conseillers ; la CPTS ne l'organise pas. La CNAM fait état d'un recul du PRADO maternité, relayé par le droit commun, et mesure l'usage de ViaTrajectoire « hors maternité » : l'existence d'un volet maternité dans ViaTrajectoire n'est pas établie.</w:t>
      </w:r>
    </w:p>
    <w:p>
      <w:pPr>
        <w:pStyle w:val="ListParagraph"/>
        <w:numPr>
          <w:ilvl w:val="0"/>
          <w:numId w:val="2"/>
        </w:numPr>
        <w:spacing w:after="60"/>
      </w:pPr>
      <w:r>
        <w:rPr>
          <w:b/>
          <w:bCs/>
          <w:color w:val="1F4A42"/>
        </w:rPr>
        <w:t xml:space="preserve">Profil médical de Mon espace santé. </w:t>
      </w:r>
      <w:r>
        <w:t xml:space="preserve">La doctrine de l'ANS indique que le profil médical n'est pas directement accessible aux professionnels ; une présentation ANS de mars 2026 évoque des rubriques du profil médical consultables en urgence. La visibilité des contacts d'urgence par un professionnel est donc à préciser.</w:t>
      </w:r>
    </w:p>
    <w:p>
      <w:pPr>
        <w:pStyle w:val="ListParagraph"/>
        <w:numPr>
          <w:ilvl w:val="0"/>
          <w:numId w:val="2"/>
        </w:numPr>
        <w:spacing w:after="60"/>
      </w:pPr>
      <w:r>
        <w:rPr>
          <w:b/>
          <w:bCs/>
          <w:color w:val="1F4A42"/>
        </w:rPr>
        <w:t xml:space="preserve">Accès d'un aidant à Mon espace santé. </w:t>
      </w:r>
      <w:r>
        <w:t xml:space="preserve">Prévu par la loi n° 2026-404 du 26/05/2026 ; développé techniquement selon l'ANS (mars 2026) ; date de mise en production non trouvée.</w:t>
      </w:r>
    </w:p>
    <w:p>
      <w:pPr>
        <w:pStyle w:val="ListParagraph"/>
        <w:numPr>
          <w:ilvl w:val="0"/>
          <w:numId w:val="2"/>
        </w:numPr>
        <w:spacing w:after="60"/>
      </w:pPr>
      <w:r>
        <w:rPr>
          <w:b/>
          <w:bCs/>
          <w:color w:val="1F4A42"/>
        </w:rPr>
        <w:t xml:space="preserve">HTSH en Île-de-France. </w:t>
      </w:r>
      <w:r>
        <w:t xml:space="preserve">L'ARS décrit une orientation par les services hospitaliers, les filières gériatriques ou les DAC, sans mentionner ViaTrajectoire, alors que d'autres ARS l'utilisent pour ce dispositif.</w:t>
      </w:r>
    </w:p>
    <w:p>
      <w:pPr>
        <w:pStyle w:val="ListParagraph"/>
        <w:numPr>
          <w:ilvl w:val="0"/>
          <w:numId w:val="2"/>
        </w:numPr>
        <w:spacing w:after="60"/>
      </w:pPr>
      <w:r>
        <w:rPr>
          <w:b/>
          <w:bCs/>
          <w:color w:val="1F4A42"/>
        </w:rPr>
        <w:t xml:space="preserve">HAD périnatales franciliennes. </w:t>
      </w:r>
      <w:r>
        <w:t xml:space="preserve">Présence dans ViaTrajectoire non vérifiée.</w:t>
      </w:r>
    </w:p>
    <w:p>
      <w:pPr>
        <w:pStyle w:val="ListParagraph"/>
        <w:numPr>
          <w:ilvl w:val="0"/>
          <w:numId w:val="2"/>
        </w:numPr>
        <w:spacing w:after="60"/>
      </w:pPr>
      <w:r>
        <w:rPr>
          <w:b/>
          <w:bCs/>
          <w:color w:val="1F4A42"/>
        </w:rPr>
        <w:t xml:space="preserve">Santélien. </w:t>
      </w:r>
      <w:r>
        <w:t xml:space="preserve">Création de comptes pour les intervenants d'aide à domicile et état effectif des alertes d'hospitalisation et de sortie, présentées comme progressives.</w:t>
      </w:r>
    </w:p>
    <w:p>
      <w:pPr>
        <w:pStyle w:val="ListParagraph"/>
        <w:numPr>
          <w:ilvl w:val="0"/>
          <w:numId w:val="2"/>
        </w:numPr>
        <w:spacing w:after="60"/>
      </w:pPr>
      <w:r>
        <w:rPr>
          <w:b/>
          <w:bCs/>
          <w:color w:val="1F4A42"/>
        </w:rPr>
        <w:t xml:space="preserve">Matrice d'habilitation du DMP. </w:t>
      </w:r>
      <w:r>
        <w:t xml:space="preserve">Arrêté du 26/10/2023 annulé par le Conseil d'État le 15/10/2025 ; republication annoncée. Les droits d'accès des paramédicaux et du médico-social peuvent évoluer.</w:t>
      </w:r>
    </w:p>
    <w:p>
      <w:pPr>
        <w:pStyle w:val="ListParagraph"/>
        <w:numPr>
          <w:ilvl w:val="0"/>
          <w:numId w:val="2"/>
        </w:numPr>
        <w:spacing w:after="60"/>
      </w:pPr>
      <w:r>
        <w:rPr>
          <w:b/>
          <w:bCs/>
          <w:color w:val="1F4A42"/>
        </w:rPr>
        <w:t xml:space="preserve">Maillage. </w:t>
      </w:r>
      <w:r>
        <w:t xml:space="preserve">Référencement des Maisons Sport Santé non vérifié.</w:t>
      </w:r>
    </w:p>
    <w:p>
      <w:pPr>
        <w:pStyle w:val="ListParagraph"/>
        <w:numPr>
          <w:ilvl w:val="0"/>
          <w:numId w:val="2"/>
        </w:numPr>
        <w:spacing w:after="60"/>
      </w:pPr>
      <w:r>
        <w:rPr>
          <w:b/>
          <w:bCs/>
          <w:color w:val="1F4A42"/>
        </w:rPr>
        <w:t xml:space="preserve">Ordonnance numérique. </w:t>
      </w:r>
      <w:r>
        <w:t xml:space="preserve">La page de l'ANS cite les décrets n° 2023-1210 et n° 2023-1222 ; le texte retenu ici est le décret n° 2023-1222, à vérifier sur Légifrance.</w:t>
      </w:r>
    </w:p>
    <w:p>
      <w:pPr>
        <w:pStyle w:val="ListParagraph"/>
        <w:numPr>
          <w:ilvl w:val="0"/>
          <w:numId w:val="2"/>
        </w:numPr>
        <w:spacing w:after="60"/>
      </w:pPr>
      <w:r>
        <w:rPr>
          <w:b/>
          <w:bCs/>
          <w:color w:val="1F4A42"/>
        </w:rPr>
        <w:t xml:space="preserve">Déclaration de grossesse en ligne. </w:t>
      </w:r>
      <w:r>
        <w:t xml:space="preserve">Transmission à la CPAM et à la CAF sourcée par les réponses certifiées du forum ameli ; la page de référence d'ameli.fr reste à citer.</w:t>
      </w:r>
    </w:p>
    <w:p>
      <w:pPr>
        <w:pStyle w:val="ListParagraph"/>
        <w:numPr>
          <w:ilvl w:val="0"/>
          <w:numId w:val="2"/>
        </w:numPr>
        <w:spacing w:after="60"/>
      </w:pPr>
      <w:r>
        <w:rPr>
          <w:b/>
          <w:bCs/>
          <w:color w:val="1F4A42"/>
        </w:rPr>
        <w:t xml:space="preserve">Doctolib et Plexus. </w:t>
      </w:r>
      <w:r>
        <w:t xml:space="preserve">Sources commerciales ; conformité de la messagerie Doctolib non établie ; usage de Plexus à vérifier auprès des CPTS concernées. « ATOMES » non identifié.</w:t>
      </w:r>
    </w:p>
    <w:p>
      <w:pPr>
        <w:pStyle w:val="ListParagraph"/>
        <w:numPr>
          <w:ilvl w:val="0"/>
          <w:numId w:val="2"/>
        </w:numPr>
        <w:spacing w:after="60"/>
      </w:pPr>
      <w:r>
        <w:rPr>
          <w:b/>
          <w:bCs/>
          <w:color w:val="1F4A42"/>
        </w:rPr>
        <w:t xml:space="preserve">Téléexpertise. </w:t>
      </w:r>
      <w:r>
        <w:t xml:space="preserve">Montants de rémunération non repris ; à vérifier sur ameli.fr avant toute diffusion chiffrée.</w:t>
      </w:r>
    </w:p>
    <w:p>
      <w:pPr>
        <w:pStyle w:val="Heading1"/>
        <w:spacing w:after="160" w:before="240"/>
      </w:pPr>
      <w:r>
        <w:t xml:space="preserve">Annexe – Sources</w:t>
      </w:r>
    </w:p>
    <w:p>
      <w:pPr>
        <w:spacing w:after="120" w:before="0"/>
      </w:pPr>
      <w:r>
        <w:rPr>
          <w:i/>
          <w:iCs/>
          <w:color w:val="6B7A73"/>
        </w:rPr>
        <w:t xml:space="preserve">Les sources commerciales et les éditeurs privés sont signalés comme tels ; les dates sont celles de publication ou de consultation.</w:t>
      </w:r>
    </w:p>
    <w:p>
      <w:pPr>
        <w:pStyle w:val="ListParagraph"/>
        <w:numPr>
          <w:ilvl w:val="0"/>
          <w:numId w:val="2"/>
        </w:numPr>
        <w:spacing w:after="60"/>
      </w:pPr>
      <w:r>
        <w:t xml:space="preserve">CSP, art. L.1111-17 (I : accès au DMP d'une personne hors d'état d'exprimer sa volonté, risque immédiat, sauf opposition préalable), cité in dossier documentaire de la décision QPC n° 2024-1101 du 12/09/2024</w:t>
      </w:r>
    </w:p>
    <w:p>
      <w:pPr>
        <w:pStyle w:val="ListParagraph"/>
        <w:numPr>
          <w:ilvl w:val="0"/>
          <w:numId w:val="2"/>
        </w:numPr>
        <w:spacing w:after="60"/>
      </w:pPr>
      <w:r>
        <w:t xml:space="preserve">CSP, art. L.1111-15 (alimentation du DMP à chaque acte ou consultation, sauf opposition pour motif légitime), cité in ANS, Référentiel de sécurité DMP v0.7</w:t>
      </w:r>
    </w:p>
    <w:p>
      <w:pPr>
        <w:pStyle w:val="ListParagraph"/>
        <w:numPr>
          <w:ilvl w:val="0"/>
          <w:numId w:val="2"/>
        </w:numPr>
        <w:spacing w:after="60"/>
      </w:pPr>
      <w:r>
        <w:t xml:space="preserve">ANS / Délégation au numérique en santé, JNMS, atelier n° 14 « Mon espace santé : état des lieux et perspectives », 10/03/2026</w:t>
      </w:r>
    </w:p>
    <w:p>
      <w:pPr>
        <w:pStyle w:val="ListParagraph"/>
        <w:numPr>
          <w:ilvl w:val="0"/>
          <w:numId w:val="2"/>
        </w:numPr>
        <w:spacing w:after="60"/>
      </w:pPr>
      <w:r>
        <w:t xml:space="preserve">ANS, FAQ « En tant que professionnel habilité… communication avec les patients via MSSanté », mise à jour du 03/09/2025</w:t>
      </w:r>
    </w:p>
    <w:p>
      <w:pPr>
        <w:pStyle w:val="ListParagraph"/>
        <w:numPr>
          <w:ilvl w:val="0"/>
          <w:numId w:val="2"/>
        </w:numPr>
        <w:spacing w:after="60"/>
      </w:pPr>
      <w:r>
        <w:t xml:space="preserve">ANS, page « Mon espace santé – Professionnel de santé » (exception pharmacie depuis mi-mai 2023), consultée le 05/10/2026</w:t>
      </w:r>
    </w:p>
    <w:p>
      <w:pPr>
        <w:pStyle w:val="ListParagraph"/>
        <w:numPr>
          <w:ilvl w:val="0"/>
          <w:numId w:val="2"/>
        </w:numPr>
        <w:spacing w:after="60"/>
      </w:pPr>
      <w:r>
        <w:t xml:space="preserve">ANS, Doctrine du numérique en santé, fiche Mon espace santé, consultée le 05/10/2026</w:t>
      </w:r>
    </w:p>
    <w:p>
      <w:pPr>
        <w:pStyle w:val="ListParagraph"/>
        <w:numPr>
          <w:ilvl w:val="0"/>
          <w:numId w:val="2"/>
        </w:numPr>
        <w:spacing w:after="60"/>
      </w:pPr>
      <w:r>
        <w:t xml:space="preserve">ANS, fiche utilisateur MSSanté « Professionnel de santé libéral » (messagerie de Mon espace santé)</w:t>
      </w:r>
    </w:p>
    <w:p>
      <w:pPr>
        <w:pStyle w:val="ListParagraph"/>
        <w:numPr>
          <w:ilvl w:val="0"/>
          <w:numId w:val="2"/>
        </w:numPr>
        <w:spacing w:after="60"/>
      </w:pPr>
      <w:r>
        <w:t xml:space="preserve">Loi n° 2026-404 du 26/05/2026 visant à garantir l'égal accès de tous à l'accompagnement et aux soins palliatifs (délégation d'accès à l'espace numérique de santé) ; présentation : Weka (éditeur privé), 26/05/2026</w:t>
      </w:r>
    </w:p>
    <w:p>
      <w:pPr>
        <w:pStyle w:val="ListParagraph"/>
        <w:numPr>
          <w:ilvl w:val="0"/>
          <w:numId w:val="2"/>
        </w:numPr>
        <w:spacing w:after="60"/>
      </w:pPr>
      <w:r>
        <w:t xml:space="preserve">ANS / CNAM / SESAN, SantExpo 2026, atelier « ViaTrajectoire et PRADO », 19/05/2026</w:t>
      </w:r>
    </w:p>
    <w:p>
      <w:pPr>
        <w:pStyle w:val="ListParagraph"/>
        <w:numPr>
          <w:ilvl w:val="0"/>
          <w:numId w:val="2"/>
        </w:numPr>
        <w:spacing w:after="60"/>
      </w:pPr>
      <w:r>
        <w:t xml:space="preserve">ARS Île-de-France, fiche HTSH et page « Structuration du dispositif HTSH en Île-de-France » (organisation par filières gériatriques depuis le 01/05/2023) ; DGCS, note d'information du 08/07/2024</w:t>
      </w:r>
    </w:p>
    <w:p>
      <w:pPr>
        <w:pStyle w:val="ListParagraph"/>
        <w:numPr>
          <w:ilvl w:val="0"/>
          <w:numId w:val="2"/>
        </w:numPr>
        <w:spacing w:after="60"/>
      </w:pPr>
      <w:r>
        <w:t xml:space="preserve">ARS Île-de-France, « Santélien : comment ça marche ? », 22/07/2025</w:t>
      </w:r>
    </w:p>
    <w:p>
      <w:pPr>
        <w:pStyle w:val="ListParagraph"/>
        <w:numPr>
          <w:ilvl w:val="0"/>
          <w:numId w:val="2"/>
        </w:numPr>
        <w:spacing w:after="60"/>
      </w:pPr>
      <w:r>
        <w:t xml:space="preserve">SESAN (GRADeS Île-de-France), page « Maillage », consultée le 05/10/2026</w:t>
      </w:r>
    </w:p>
    <w:p>
      <w:pPr>
        <w:pStyle w:val="ListParagraph"/>
        <w:numPr>
          <w:ilvl w:val="0"/>
          <w:numId w:val="2"/>
        </w:numPr>
        <w:spacing w:after="60"/>
      </w:pPr>
      <w:r>
        <w:t xml:space="preserve">LFSS 2022, art. 36 ; décret n° 2022-1767 du 30/12/2022 ; arrêtés du 22/06/2023 (lignes génériques, dont diabète et diabète gestationnel) ; droit commun depuis le 01/07/2023 (sante.fr, ministère)</w:t>
      </w:r>
    </w:p>
    <w:p>
      <w:pPr>
        <w:pStyle w:val="ListParagraph"/>
        <w:numPr>
          <w:ilvl w:val="0"/>
          <w:numId w:val="2"/>
        </w:numPr>
        <w:spacing w:after="60"/>
      </w:pPr>
      <w:r>
        <w:t xml:space="preserve">Ordonnance n° 2020-1408 du 18/11/2020 ; décret n° 2023-1222 du 20/12/2023 ; ANS, Doctrine, fiche Ordonnance numérique (consultée le 05/10/2026) ; MACSF (éditeur privé) sur l'absence de sanction</w:t>
      </w:r>
    </w:p>
    <w:p>
      <w:pPr>
        <w:pStyle w:val="ListParagraph"/>
        <w:numPr>
          <w:ilvl w:val="0"/>
          <w:numId w:val="2"/>
        </w:numPr>
        <w:spacing w:after="60"/>
      </w:pPr>
      <w:r>
        <w:t xml:space="preserve">HAS, « Avec la télémédecine, une prise en charge rapide de vos patients » ; ARS Bretagne, mémo « Téléexpertise – mode d'emploi » ; Convention médicale 2024-2029, art. 79-1 (JO du 21/06/2024)</w:t>
      </w:r>
    </w:p>
    <w:p>
      <w:pPr>
        <w:pStyle w:val="ListParagraph"/>
        <w:numPr>
          <w:ilvl w:val="0"/>
          <w:numId w:val="2"/>
        </w:numPr>
        <w:spacing w:after="60"/>
      </w:pPr>
      <w:r>
        <w:t xml:space="preserve">CSP, art. R.1112-1-2, issu du décret n° 2016-995 du 20/07/2016 ; HAS, certification 2025, critère 1.2-04</w:t>
      </w:r>
    </w:p>
    <w:p>
      <w:pPr>
        <w:pStyle w:val="ListParagraph"/>
        <w:numPr>
          <w:ilvl w:val="0"/>
          <w:numId w:val="2"/>
        </w:numPr>
        <w:spacing w:after="60"/>
      </w:pPr>
      <w:r>
        <w:t xml:space="preserve">Assurance Maladie, actualité « L'appli carte Vitale est désormais disponible pour tous les patients » (généralisation le 18/11/2025), relayée par l'ARS Guadeloupe (Info PS du 16/01/2026)</w:t>
      </w:r>
    </w:p>
    <w:p>
      <w:pPr>
        <w:pStyle w:val="ListParagraph"/>
        <w:numPr>
          <w:ilvl w:val="0"/>
          <w:numId w:val="2"/>
        </w:numPr>
        <w:spacing w:after="60"/>
      </w:pPr>
      <w:r>
        <w:t xml:space="preserve">ameli.fr, forum des assurés, réponses certifiées par l'Assurance Maladie (déclaration en ligne transmise à la CPAM et à la CAF)</w:t>
      </w:r>
    </w:p>
    <w:p>
      <w:pPr>
        <w:pStyle w:val="ListParagraph"/>
        <w:numPr>
          <w:ilvl w:val="0"/>
          <w:numId w:val="2"/>
        </w:numPr>
        <w:spacing w:after="60"/>
      </w:pPr>
      <w:r>
        <w:t xml:space="preserve">Décret n° 2022-731 et arrêté du 27/04/2022 relatifs à la mission de centre de ressources territorial pour les personnes âgées</w:t>
      </w:r>
    </w:p>
    <w:p>
      <w:pPr>
        <w:pStyle w:val="ListParagraph"/>
        <w:numPr>
          <w:ilvl w:val="0"/>
          <w:numId w:val="2"/>
        </w:numPr>
        <w:spacing w:after="60"/>
      </w:pPr>
      <w:r>
        <w:t xml:space="preserve">Doctolib (source commerciale) : communiqué d'acquisition de Siilo (02/03/2023), fiche App Store « Doctolib Connect (Siilo) » ; Le Quotidien du pharmacien (presse professionnelle)</w:t>
      </w:r>
    </w:p>
    <w:p>
      <w:pPr>
        <w:pStyle w:val="ListParagraph"/>
        <w:numPr>
          <w:ilvl w:val="0"/>
          <w:numId w:val="2"/>
        </w:numPr>
        <w:spacing w:after="60"/>
      </w:pPr>
      <w:r>
        <w:t xml:space="preserve">Plexus Santé (source commerciale) : fiche Capterra ; formulaires d'adhésion de CPTS mentionnant l'outil</w:t>
      </w:r>
    </w:p>
    <w:p>
      <w:pPr>
        <w:pStyle w:val="ListParagraph"/>
        <w:numPr>
          <w:ilvl w:val="0"/>
          <w:numId w:val="2"/>
        </w:numPr>
        <w:spacing w:after="60"/>
      </w:pPr>
      <w:r>
        <w:t xml:space="preserve">HAS, note de cadrage « Structuration de la posologie des médicaments » (QR code de l'ordonnance numérique)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6"/>
        <w:szCs w:val="16"/>
      </w:rPr>
      <w:t xml:space="preserve">Annexe kit CPTS – outils numériques et exercice coordonné – page </w:t>
    </w:r>
    <w:r>
      <w:rPr>
        <w:color w:val="6B7A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1F4A42"/>
      <w:sz w:val="32"/>
      <w:szCs w:val="32"/>
    </w:rPr>
  </w:style>
  <w:style w:type="paragraph" w:styleId="Heading2">
    <w:name w:val="Heading 2"/>
    <w:basedOn w:val="Normal"/>
    <w:next w:val="Normal"/>
    <w:qFormat/>
    <w:pPr>
      <w:outlineLvl w:val="1"/>
    </w:pPr>
    <w:rPr>
      <w:rFonts w:ascii="Georgia" w:cs="Georgia" w:eastAsia="Georgia" w:hAnsi="Georgia"/>
      <w:b/>
      <w:bCs/>
      <w:color w:val="2F6E6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outils numériques au service de l'exercice coordonné</dc:title>
  <dc:creator>Organisateurs de la journée exco-num</dc:creator>
  <cp:lastModifiedBy>Un-named</cp:lastModifiedBy>
  <cp:revision>1</cp:revision>
  <dcterms:created xsi:type="dcterms:W3CDTF">2026-10-05T12:42:18.557Z</dcterms:created>
  <dcterms:modified xsi:type="dcterms:W3CDTF">2026-10-05T12:42:18.558Z</dcterms:modified>
</cp:coreProperties>
</file>

<file path=docProps/custom.xml><?xml version="1.0" encoding="utf-8"?>
<Properties xmlns="http://schemas.openxmlformats.org/officeDocument/2006/custom-properties" xmlns:vt="http://schemas.openxmlformats.org/officeDocument/2006/docPropsVTypes"/>
</file>