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用phyphox测量地</w:t>
      </w:r>
      <w:bookmarkStart w:id="0" w:name="_GoBack"/>
      <w:bookmarkEnd w:id="0"/>
      <w:r>
        <w:rPr>
          <w:rFonts w:hint="eastAsia"/>
        </w:rPr>
        <w:t>磁场</w:t>
      </w:r>
    </w:p>
    <w:p>
      <w:r>
        <w:rPr>
          <w:rFonts w:hint="eastAsia"/>
          <w:b/>
        </w:rPr>
        <w:t>实验目的</w:t>
      </w:r>
      <w:r>
        <w:rPr>
          <w:rFonts w:hint="eastAsia"/>
        </w:rPr>
        <w:t>：1、学习phyphox软件的磁力计功能</w:t>
      </w:r>
    </w:p>
    <w:p>
      <w:r>
        <w:rPr>
          <w:rFonts w:hint="eastAsia"/>
        </w:rPr>
        <w:t xml:space="preserve">          2、用phyphox软件测量地磁场大小和磁倾角</w:t>
      </w:r>
    </w:p>
    <w:p>
      <w:r>
        <w:rPr>
          <w:rFonts w:hint="eastAsia"/>
          <w:b/>
        </w:rPr>
        <w:t>实验仪器</w:t>
      </w:r>
      <w:r>
        <w:rPr>
          <w:rFonts w:hint="eastAsia"/>
        </w:rPr>
        <w:t>：智能手机，phyphox软件</w:t>
      </w:r>
    </w:p>
    <w:p>
      <w:r>
        <w:rPr>
          <w:rFonts w:hint="eastAsia"/>
          <w:b/>
        </w:rPr>
        <w:t>实验原理</w:t>
      </w:r>
      <w:r>
        <w:rPr>
          <w:rFonts w:hint="eastAsia"/>
        </w:rPr>
        <w:t>：</w:t>
      </w:r>
    </w:p>
    <w:p>
      <w:pPr>
        <w:spacing w:beforeLines="50" w:afterLines="50"/>
        <w:ind w:firstLine="420" w:firstLineChars="200"/>
      </w:pPr>
      <w:r>
        <w:rPr>
          <w:rFonts w:hint="eastAsia"/>
        </w:rPr>
        <w:t>地磁场是地球内部和周围天然存在的磁性现象。把地球近似认为是一个磁偶极子，磁偶极子的S极位于地理北极附近，N极位在地理南极附近。通过这两个磁极的假想直线（磁轴）与地球的自转轴不重合，如图1所示，夹角大约为11.3度。地球的磁场向太空伸出至数万公里，能有效屏蔽来自太空中的宇宙射线，使地球生物免受伤害。另外，地磁场还可以为人们指明方向，在航海、探险以及科学考察中有很重要意义。</w:t>
      </w:r>
    </w:p>
    <w:p>
      <w:pPr>
        <w:spacing w:beforeLines="50" w:afterLines="50"/>
      </w:pPr>
      <w:r>
        <w:rPr>
          <w:rFonts w:hint="eastAsia"/>
        </w:rPr>
        <w:t xml:space="preserve">    不同地理位置的地磁场均不相同。测量某个地区的地磁场需要分别测量地磁场沿着水平和竖直两个方向的分量，如图2所示。地磁场方向与水平面之间的夹角称为磁倾角，可由地磁场沿水平和竖直两个方向的分量得到。</w:t>
      </w:r>
    </w:p>
    <w:p/>
    <w:p>
      <w:r>
        <w:drawing>
          <wp:inline distT="0" distB="0" distL="0" distR="0">
            <wp:extent cx="2505075" cy="1871980"/>
            <wp:effectExtent l="19050" t="19050" r="28166" b="139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2505484" cy="1872000"/>
                    </a:xfrm>
                    <a:prstGeom prst="rect">
                      <a:avLst/>
                    </a:prstGeom>
                    <a:noFill/>
                    <a:ln w="9525">
                      <a:solidFill>
                        <a:schemeClr val="accent1"/>
                      </a:solidFill>
                      <a:miter lim="800000"/>
                      <a:headEnd/>
                      <a:tailEnd/>
                    </a:ln>
                  </pic:spPr>
                </pic:pic>
              </a:graphicData>
            </a:graphic>
          </wp:inline>
        </w:drawing>
      </w:r>
      <w:r>
        <w:rPr>
          <w:rFonts w:hint="eastAsia"/>
        </w:rPr>
        <w:t xml:space="preserve"> </w:t>
      </w:r>
      <w:r>
        <w:drawing>
          <wp:inline distT="0" distB="0" distL="0" distR="0">
            <wp:extent cx="2482215" cy="1887220"/>
            <wp:effectExtent l="19050" t="0" r="0" b="0"/>
            <wp:docPr id="5" name="对象 3"/>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680520" cy="3600400"/>
                      <a:chOff x="1763688" y="1772816"/>
                      <a:chExt cx="4680520" cy="3600400"/>
                    </a:xfrm>
                  </a:grpSpPr>
                  <a:grpSp>
                    <a:nvGrpSpPr>
                      <a:cNvPr id="44" name="组合 43"/>
                      <a:cNvGrpSpPr/>
                    </a:nvGrpSpPr>
                    <a:grpSpPr>
                      <a:xfrm>
                        <a:off x="1763688" y="1772816"/>
                        <a:ext cx="4680520" cy="3600400"/>
                        <a:chOff x="1763688" y="1772816"/>
                        <a:chExt cx="4680520" cy="3600400"/>
                      </a:xfrm>
                    </a:grpSpPr>
                    <a:grpSp>
                      <a:nvGrpSpPr>
                        <a:cNvPr id="3" name="组合 40"/>
                        <a:cNvGrpSpPr/>
                      </a:nvGrpSpPr>
                      <a:grpSpPr>
                        <a:xfrm>
                          <a:off x="1763688" y="1772816"/>
                          <a:ext cx="4680520" cy="3600400"/>
                          <a:chOff x="1763688" y="1772816"/>
                          <a:chExt cx="4680520" cy="3600400"/>
                        </a:xfrm>
                      </a:grpSpPr>
                      <a:sp>
                        <a:nvSpPr>
                          <a:cNvPr id="6" name="矩形 5"/>
                          <a:cNvSpPr/>
                        </a:nvSpPr>
                        <a:spPr>
                          <a:xfrm>
                            <a:off x="1763688" y="1772816"/>
                            <a:ext cx="4680520" cy="3600400"/>
                          </a:xfrm>
                          <a:prstGeom prst="rect">
                            <a:avLst/>
                          </a:prstGeom>
                          <a:blipFill>
                            <a:blip r:embed="rId5" cstate="print"/>
                            <a:tile tx="0" ty="0" sx="100000" sy="100000" flip="none" algn="tl"/>
                          </a:blipFill>
                        </a:spPr>
                        <a:txSp>
                          <a:txBody>
                            <a:bodyPr rtlCol="0" anchor="ctr"/>
                            <a:lstStyle>
                              <a:defPPr>
                                <a:defRPr lang="zh-CN"/>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弧形 28"/>
                          <a:cNvSpPr/>
                        </a:nvSpPr>
                        <a:spPr>
                          <a:xfrm rot="1836968">
                            <a:off x="2529299" y="2725155"/>
                            <a:ext cx="192099" cy="315049"/>
                          </a:xfrm>
                          <a:prstGeom prst="arc">
                            <a:avLst>
                              <a:gd name="adj1" fmla="val 16200000"/>
                              <a:gd name="adj2" fmla="val 373637"/>
                            </a:avLst>
                          </a:prstGeom>
                          <a:ln w="28575">
                            <a:solidFill>
                              <a:schemeClr val="tx1">
                                <a:lumMod val="75000"/>
                              </a:schemeClr>
                            </a:solidFill>
                          </a:ln>
                        </a:spPr>
                        <a:txSp>
                          <a:txBody>
                            <a:bodyPr rtlCol="0" anchor="ctr"/>
                            <a:lstStyle>
                              <a:defPPr>
                                <a:defRPr lang="zh-CN"/>
                              </a:defPPr>
                              <a:lvl1pPr algn="l" rtl="0" fontAlgn="base">
                                <a:spcBef>
                                  <a:spcPct val="0"/>
                                </a:spcBef>
                                <a:spcAft>
                                  <a:spcPct val="0"/>
                                </a:spcAft>
                                <a:defRPr sz="2400" kern="1200">
                                  <a:solidFill>
                                    <a:schemeClr val="tx1"/>
                                  </a:solidFill>
                                  <a:latin typeface="+mn-lt"/>
                                  <a:ea typeface="+mn-ea"/>
                                  <a:cs typeface="+mn-cs"/>
                                </a:defRPr>
                              </a:lvl1pPr>
                              <a:lvl2pPr marL="457200" algn="l" rtl="0" fontAlgn="base">
                                <a:spcBef>
                                  <a:spcPct val="0"/>
                                </a:spcBef>
                                <a:spcAft>
                                  <a:spcPct val="0"/>
                                </a:spcAft>
                                <a:defRPr sz="2400" kern="1200">
                                  <a:solidFill>
                                    <a:schemeClr val="tx1"/>
                                  </a:solidFill>
                                  <a:latin typeface="+mn-lt"/>
                                  <a:ea typeface="+mn-ea"/>
                                  <a:cs typeface="+mn-cs"/>
                                </a:defRPr>
                              </a:lvl2pPr>
                              <a:lvl3pPr marL="914400" algn="l" rtl="0" fontAlgn="base">
                                <a:spcBef>
                                  <a:spcPct val="0"/>
                                </a:spcBef>
                                <a:spcAft>
                                  <a:spcPct val="0"/>
                                </a:spcAft>
                                <a:defRPr sz="2400" kern="1200">
                                  <a:solidFill>
                                    <a:schemeClr val="tx1"/>
                                  </a:solidFill>
                                  <a:latin typeface="+mn-lt"/>
                                  <a:ea typeface="+mn-ea"/>
                                  <a:cs typeface="+mn-cs"/>
                                </a:defRPr>
                              </a:lvl3pPr>
                              <a:lvl4pPr marL="1371600" algn="l" rtl="0" fontAlgn="base">
                                <a:spcBef>
                                  <a:spcPct val="0"/>
                                </a:spcBef>
                                <a:spcAft>
                                  <a:spcPct val="0"/>
                                </a:spcAft>
                                <a:defRPr sz="2400" kern="1200">
                                  <a:solidFill>
                                    <a:schemeClr val="tx1"/>
                                  </a:solidFill>
                                  <a:latin typeface="+mn-lt"/>
                                  <a:ea typeface="+mn-ea"/>
                                  <a:cs typeface="+mn-cs"/>
                                </a:defRPr>
                              </a:lvl4pPr>
                              <a:lvl5pPr marL="1828800" algn="l" rtl="0" fontAlgn="base">
                                <a:spcBef>
                                  <a:spcPct val="0"/>
                                </a:spcBef>
                                <a:spcAft>
                                  <a:spcPct val="0"/>
                                </a:spcAft>
                                <a:defRPr sz="2400" kern="1200">
                                  <a:solidFill>
                                    <a:schemeClr val="tx1"/>
                                  </a:solidFill>
                                  <a:latin typeface="+mn-lt"/>
                                  <a:ea typeface="+mn-ea"/>
                                  <a:cs typeface="+mn-cs"/>
                                </a:defRPr>
                              </a:lvl5pPr>
                              <a:lvl6pPr marL="2286000" algn="l" defTabSz="914400" rtl="0" eaLnBrk="1" latinLnBrk="0" hangingPunct="1">
                                <a:defRPr sz="2400" kern="1200">
                                  <a:solidFill>
                                    <a:schemeClr val="tx1"/>
                                  </a:solidFill>
                                  <a:latin typeface="+mn-lt"/>
                                  <a:ea typeface="+mn-ea"/>
                                  <a:cs typeface="+mn-cs"/>
                                </a:defRPr>
                              </a:lvl6pPr>
                              <a:lvl7pPr marL="2743200" algn="l" defTabSz="914400" rtl="0" eaLnBrk="1" latinLnBrk="0" hangingPunct="1">
                                <a:defRPr sz="2400" kern="1200">
                                  <a:solidFill>
                                    <a:schemeClr val="tx1"/>
                                  </a:solidFill>
                                  <a:latin typeface="+mn-lt"/>
                                  <a:ea typeface="+mn-ea"/>
                                  <a:cs typeface="+mn-cs"/>
                                </a:defRPr>
                              </a:lvl7pPr>
                              <a:lvl8pPr marL="3200400" algn="l" defTabSz="914400" rtl="0" eaLnBrk="1" latinLnBrk="0" hangingPunct="1">
                                <a:defRPr sz="2400" kern="1200">
                                  <a:solidFill>
                                    <a:schemeClr val="tx1"/>
                                  </a:solidFill>
                                  <a:latin typeface="+mn-lt"/>
                                  <a:ea typeface="+mn-ea"/>
                                  <a:cs typeface="+mn-cs"/>
                                </a:defRPr>
                              </a:lvl8pPr>
                              <a:lvl9pPr marL="3657600" algn="l" defTabSz="914400" rtl="0" eaLnBrk="1" latinLnBrk="0" hangingPunct="1">
                                <a:defRPr sz="2400" kern="1200">
                                  <a:solidFill>
                                    <a:schemeClr val="tx1"/>
                                  </a:solidFill>
                                  <a:latin typeface="+mn-lt"/>
                                  <a:ea typeface="+mn-ea"/>
                                  <a:cs typeface="+mn-cs"/>
                                </a:defRPr>
                              </a:lvl9pPr>
                            </a:lstStyle>
                            <a:p>
                              <a:pPr algn="ctr"/>
                              <a:endParaRPr lang="zh-CN" altLang="en-US" dirty="0">
                                <a:solidFill>
                                  <a:schemeClr val="tx1">
                                    <a:lumMod val="75000"/>
                                  </a:schemeClr>
                                </a:solidFill>
                              </a:endParaRPr>
                            </a:p>
                          </a:txBody>
                          <a:useSpRect/>
                        </a:txSp>
                        <a:style>
                          <a:lnRef idx="1">
                            <a:schemeClr val="accent1"/>
                          </a:lnRef>
                          <a:fillRef idx="0">
                            <a:schemeClr val="accent1"/>
                          </a:fillRef>
                          <a:effectRef idx="0">
                            <a:schemeClr val="accent1"/>
                          </a:effectRef>
                          <a:fontRef idx="minor">
                            <a:schemeClr val="tx1"/>
                          </a:fontRef>
                        </a:style>
                      </a:sp>
                      <a:cxnSp>
                        <a:nvCxnSpPr>
                          <a:cNvPr id="25" name="直接箭头连接符 24"/>
                          <a:cNvCxnSpPr/>
                        </a:nvCxnSpPr>
                        <a:spPr>
                          <a:xfrm>
                            <a:off x="3173712" y="4273000"/>
                            <a:ext cx="2694432" cy="0"/>
                          </a:xfrm>
                          <a:prstGeom prst="straightConnector1">
                            <a:avLst/>
                          </a:prstGeom>
                          <a:ln w="31750">
                            <a:solidFill>
                              <a:schemeClr val="tx1"/>
                            </a:solidFill>
                            <a:prstDash val="dash"/>
                            <a:tailEnd type="none" w="lg" len="lg"/>
                          </a:ln>
                        </a:spPr>
                        <a:style>
                          <a:lnRef idx="1">
                            <a:schemeClr val="accent1"/>
                          </a:lnRef>
                          <a:fillRef idx="0">
                            <a:schemeClr val="accent1"/>
                          </a:fillRef>
                          <a:effectRef idx="0">
                            <a:schemeClr val="accent1"/>
                          </a:effectRef>
                          <a:fontRef idx="minor">
                            <a:schemeClr val="tx1"/>
                          </a:fontRef>
                        </a:style>
                      </a:cxnSp>
                      <a:cxnSp>
                        <a:nvCxnSpPr>
                          <a:cNvPr id="9" name="直接箭头连接符 8"/>
                          <a:cNvCxnSpPr/>
                        </a:nvCxnSpPr>
                        <a:spPr>
                          <a:xfrm>
                            <a:off x="2411760" y="2806216"/>
                            <a:ext cx="3456384" cy="1476832"/>
                          </a:xfrm>
                          <a:prstGeom prst="straightConnector1">
                            <a:avLst/>
                          </a:prstGeom>
                          <a:ln w="31750">
                            <a:solidFill>
                              <a:srgbClr val="FF0000"/>
                            </a:solidFill>
                            <a:prstDash val="dash"/>
                            <a:tailEnd type="stealth" w="lg" len="lg"/>
                          </a:ln>
                        </a:spPr>
                        <a:style>
                          <a:lnRef idx="1">
                            <a:schemeClr val="accent1"/>
                          </a:lnRef>
                          <a:fillRef idx="0">
                            <a:schemeClr val="accent1"/>
                          </a:fillRef>
                          <a:effectRef idx="0">
                            <a:schemeClr val="accent1"/>
                          </a:effectRef>
                          <a:fontRef idx="minor">
                            <a:schemeClr val="tx1"/>
                          </a:fontRef>
                        </a:style>
                      </a:cxnSp>
                      <a:cxnSp>
                        <a:nvCxnSpPr>
                          <a:cNvPr id="24" name="直接箭头连接符 23"/>
                          <a:cNvCxnSpPr/>
                        </a:nvCxnSpPr>
                        <a:spPr>
                          <a:xfrm>
                            <a:off x="3173712" y="2082616"/>
                            <a:ext cx="0" cy="2200432"/>
                          </a:xfrm>
                          <a:prstGeom prst="straightConnector1">
                            <a:avLst/>
                          </a:prstGeom>
                          <a:ln w="31750">
                            <a:solidFill>
                              <a:schemeClr val="tx1"/>
                            </a:solidFill>
                            <a:prstDash val="dash"/>
                            <a:tailEnd type="none" w="lg" len="lg"/>
                          </a:ln>
                        </a:spPr>
                        <a:style>
                          <a:lnRef idx="1">
                            <a:schemeClr val="accent1"/>
                          </a:lnRef>
                          <a:fillRef idx="0">
                            <a:schemeClr val="accent1"/>
                          </a:fillRef>
                          <a:effectRef idx="0">
                            <a:schemeClr val="accent1"/>
                          </a:effectRef>
                          <a:fontRef idx="minor">
                            <a:schemeClr val="tx1"/>
                          </a:fontRef>
                        </a:style>
                      </a:cxnSp>
                      <a:sp>
                        <a:nvSpPr>
                          <a:cNvPr id="7" name="立方体 6"/>
                          <a:cNvSpPr/>
                        </a:nvSpPr>
                        <a:spPr>
                          <a:xfrm>
                            <a:off x="2411760" y="2060848"/>
                            <a:ext cx="3456384" cy="2952328"/>
                          </a:xfrm>
                          <a:prstGeom prst="cube">
                            <a:avLst/>
                          </a:prstGeom>
                          <a:noFill/>
                          <a:ln>
                            <a:solidFill>
                              <a:schemeClr val="tx1"/>
                            </a:solidFill>
                          </a:ln>
                        </a:spPr>
                        <a:txSp>
                          <a:txBody>
                            <a:bodyPr rtlCol="0" anchor="ctr"/>
                            <a:lstStyle>
                              <a:defPPr>
                                <a:defRPr lang="zh-CN"/>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直接箭头连接符 14"/>
                          <a:cNvCxnSpPr/>
                        </a:nvCxnSpPr>
                        <a:spPr>
                          <a:xfrm>
                            <a:off x="2411760" y="2812744"/>
                            <a:ext cx="0" cy="2200432"/>
                          </a:xfrm>
                          <a:prstGeom prst="straightConnector1">
                            <a:avLst/>
                          </a:prstGeom>
                          <a:ln w="31750">
                            <a:solidFill>
                              <a:srgbClr val="FF0000"/>
                            </a:solidFill>
                            <a:tailEnd type="stealth" w="lg" len="lg"/>
                          </a:ln>
                        </a:spPr>
                        <a:style>
                          <a:lnRef idx="1">
                            <a:schemeClr val="accent1"/>
                          </a:lnRef>
                          <a:fillRef idx="0">
                            <a:schemeClr val="accent1"/>
                          </a:fillRef>
                          <a:effectRef idx="0">
                            <a:schemeClr val="accent1"/>
                          </a:effectRef>
                          <a:fontRef idx="minor">
                            <a:schemeClr val="tx1"/>
                          </a:fontRef>
                        </a:style>
                      </a:cxnSp>
                      <a:cxnSp>
                        <a:nvCxnSpPr>
                          <a:cNvPr id="27" name="直接箭头连接符 26"/>
                          <a:cNvCxnSpPr/>
                        </a:nvCxnSpPr>
                        <a:spPr>
                          <a:xfrm flipH="1">
                            <a:off x="2433536" y="4283048"/>
                            <a:ext cx="730128" cy="728456"/>
                          </a:xfrm>
                          <a:prstGeom prst="straightConnector1">
                            <a:avLst/>
                          </a:prstGeom>
                          <a:ln w="31750">
                            <a:solidFill>
                              <a:schemeClr val="tx1"/>
                            </a:solidFill>
                            <a:prstDash val="dash"/>
                            <a:tailEnd type="none" w="lg" len="lg"/>
                          </a:ln>
                        </a:spPr>
                        <a:style>
                          <a:lnRef idx="1">
                            <a:schemeClr val="accent1"/>
                          </a:lnRef>
                          <a:fillRef idx="0">
                            <a:schemeClr val="accent1"/>
                          </a:fillRef>
                          <a:effectRef idx="0">
                            <a:schemeClr val="accent1"/>
                          </a:effectRef>
                          <a:fontRef idx="minor">
                            <a:schemeClr val="tx1"/>
                          </a:fontRef>
                        </a:style>
                      </a:cxnSp>
                      <a:cxnSp>
                        <a:nvCxnSpPr>
                          <a:cNvPr id="21" name="直接箭头连接符 20"/>
                          <a:cNvCxnSpPr/>
                        </a:nvCxnSpPr>
                        <a:spPr>
                          <a:xfrm flipV="1">
                            <a:off x="2401712" y="2082616"/>
                            <a:ext cx="3456384" cy="713552"/>
                          </a:xfrm>
                          <a:prstGeom prst="straightConnector1">
                            <a:avLst/>
                          </a:prstGeom>
                          <a:ln w="31750">
                            <a:solidFill>
                              <a:srgbClr val="FF0000"/>
                            </a:solidFill>
                            <a:tailEnd type="stealth" w="lg" len="lg"/>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2719888" y="2749971"/>
                            <a:ext cx="1008112" cy="307777"/>
                          </a:xfrm>
                          <a:prstGeom prst="rect">
                            <a:avLst/>
                          </a:prstGeom>
                          <a:noFill/>
                        </a:spPr>
                        <a:txSp>
                          <a:txBody>
                            <a:bodyPr wrap="square" rtlCol="0">
                              <a:spAutoFit/>
                            </a:bodyPr>
                            <a:lstStyle>
                              <a:defPPr>
                                <a:defRPr lang="zh-CN"/>
                              </a:defPPr>
                              <a:lvl1pPr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1pPr>
                              <a:lvl2pPr marL="4572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2pPr>
                              <a:lvl3pPr marL="9144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3pPr>
                              <a:lvl4pPr marL="13716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4pPr>
                              <a:lvl5pPr marL="18288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5pPr>
                              <a:lvl6pPr marL="22860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6pPr>
                              <a:lvl7pPr marL="27432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7pPr>
                              <a:lvl8pPr marL="32004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8pPr>
                              <a:lvl9pPr marL="36576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9pPr>
                            </a:lstStyle>
                            <a:p>
                              <a:r>
                                <a:rPr lang="zh-CN" altLang="en-US" sz="1400" dirty="0" smtClean="0">
                                  <a:solidFill>
                                    <a:schemeClr val="tx1">
                                      <a:lumMod val="75000"/>
                                    </a:schemeClr>
                                  </a:solidFill>
                                </a:rPr>
                                <a:t>磁倾角</a:t>
                              </a:r>
                              <a:endParaRPr lang="zh-CN" altLang="en-US" sz="1400" dirty="0">
                                <a:solidFill>
                                  <a:schemeClr val="tx1">
                                    <a:lumMod val="75000"/>
                                  </a:schemeClr>
                                </a:solidFill>
                              </a:endParaRPr>
                            </a:p>
                          </a:txBody>
                          <a:useSpRect/>
                        </a:txSp>
                      </a:sp>
                      <a:sp>
                        <a:nvSpPr>
                          <a:cNvPr id="31" name="TextBox 30"/>
                          <a:cNvSpPr txBox="1"/>
                        </a:nvSpPr>
                        <a:spPr>
                          <a:xfrm>
                            <a:off x="2073244" y="3215878"/>
                            <a:ext cx="432048" cy="1077218"/>
                          </a:xfrm>
                          <a:prstGeom prst="rect">
                            <a:avLst/>
                          </a:prstGeom>
                          <a:noFill/>
                        </a:spPr>
                        <a:txSp>
                          <a:txBody>
                            <a:bodyPr wrap="square" rtlCol="0">
                              <a:spAutoFit/>
                            </a:bodyPr>
                            <a:lstStyle>
                              <a:defPPr>
                                <a:defRPr lang="zh-CN"/>
                              </a:defPPr>
                              <a:lvl1pPr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1pPr>
                              <a:lvl2pPr marL="4572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2pPr>
                              <a:lvl3pPr marL="9144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3pPr>
                              <a:lvl4pPr marL="13716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4pPr>
                              <a:lvl5pPr marL="18288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5pPr>
                              <a:lvl6pPr marL="22860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6pPr>
                              <a:lvl7pPr marL="27432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7pPr>
                              <a:lvl8pPr marL="32004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8pPr>
                              <a:lvl9pPr marL="36576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9pPr>
                            </a:lstStyle>
                            <a:p>
                              <a:r>
                                <a:rPr lang="zh-CN" altLang="en-US" sz="1600" dirty="0" smtClean="0">
                                  <a:solidFill>
                                    <a:srgbClr val="FF0000"/>
                                  </a:solidFill>
                                </a:rPr>
                                <a:t>垂直分量</a:t>
                              </a:r>
                              <a:endParaRPr lang="zh-CN" altLang="en-US" sz="1600" dirty="0">
                                <a:solidFill>
                                  <a:srgbClr val="FF0000"/>
                                </a:solidFill>
                              </a:endParaRPr>
                            </a:p>
                          </a:txBody>
                          <a:useSpRect/>
                        </a:txSp>
                      </a:sp>
                      <a:sp>
                        <a:nvSpPr>
                          <a:cNvPr id="32" name="TextBox 31"/>
                          <a:cNvSpPr txBox="1"/>
                        </a:nvSpPr>
                        <a:spPr>
                          <a:xfrm rot="20833999">
                            <a:off x="3318812" y="2178706"/>
                            <a:ext cx="1037845" cy="338554"/>
                          </a:xfrm>
                          <a:prstGeom prst="rect">
                            <a:avLst/>
                          </a:prstGeom>
                          <a:noFill/>
                        </a:spPr>
                        <a:txSp>
                          <a:txBody>
                            <a:bodyPr wrap="square" rtlCol="0">
                              <a:spAutoFit/>
                            </a:bodyPr>
                            <a:lstStyle>
                              <a:defPPr>
                                <a:defRPr lang="zh-CN"/>
                              </a:defPPr>
                              <a:lvl1pPr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1pPr>
                              <a:lvl2pPr marL="4572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2pPr>
                              <a:lvl3pPr marL="9144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3pPr>
                              <a:lvl4pPr marL="13716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4pPr>
                              <a:lvl5pPr marL="18288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5pPr>
                              <a:lvl6pPr marL="22860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6pPr>
                              <a:lvl7pPr marL="27432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7pPr>
                              <a:lvl8pPr marL="32004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8pPr>
                              <a:lvl9pPr marL="36576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9pPr>
                            </a:lstStyle>
                            <a:p>
                              <a:r>
                                <a:rPr lang="zh-CN" altLang="en-US" sz="1600" dirty="0" smtClean="0">
                                  <a:solidFill>
                                    <a:srgbClr val="FF0000"/>
                                  </a:solidFill>
                                </a:rPr>
                                <a:t>水平分量</a:t>
                              </a:r>
                              <a:endParaRPr lang="zh-CN" altLang="en-US" sz="1600" dirty="0">
                                <a:solidFill>
                                  <a:srgbClr val="FF0000"/>
                                </a:solidFill>
                              </a:endParaRPr>
                            </a:p>
                          </a:txBody>
                          <a:useSpRect/>
                        </a:txSp>
                      </a:sp>
                      <a:sp>
                        <a:nvSpPr>
                          <a:cNvPr id="33" name="TextBox 32"/>
                          <a:cNvSpPr txBox="1"/>
                        </a:nvSpPr>
                        <a:spPr>
                          <a:xfrm rot="1377243">
                            <a:off x="3852265" y="3313480"/>
                            <a:ext cx="1037845" cy="338554"/>
                          </a:xfrm>
                          <a:prstGeom prst="rect">
                            <a:avLst/>
                          </a:prstGeom>
                          <a:noFill/>
                        </a:spPr>
                        <a:txSp>
                          <a:txBody>
                            <a:bodyPr wrap="square" rtlCol="0">
                              <a:spAutoFit/>
                            </a:bodyPr>
                            <a:lstStyle>
                              <a:defPPr>
                                <a:defRPr lang="zh-CN"/>
                              </a:defPPr>
                              <a:lvl1pPr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1pPr>
                              <a:lvl2pPr marL="4572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2pPr>
                              <a:lvl3pPr marL="9144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3pPr>
                              <a:lvl4pPr marL="13716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4pPr>
                              <a:lvl5pPr marL="18288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5pPr>
                              <a:lvl6pPr marL="22860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6pPr>
                              <a:lvl7pPr marL="27432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7pPr>
                              <a:lvl8pPr marL="32004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8pPr>
                              <a:lvl9pPr marL="36576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9pPr>
                            </a:lstStyle>
                            <a:p>
                              <a:r>
                                <a:rPr lang="zh-CN" altLang="en-US" sz="1600" dirty="0" smtClean="0">
                                  <a:solidFill>
                                    <a:srgbClr val="FF0000"/>
                                  </a:solidFill>
                                </a:rPr>
                                <a:t>磁场强度</a:t>
                              </a:r>
                              <a:endParaRPr lang="zh-CN" altLang="en-US" sz="1600" dirty="0">
                                <a:solidFill>
                                  <a:srgbClr val="FF0000"/>
                                </a:solidFill>
                              </a:endParaRPr>
                            </a:p>
                          </a:txBody>
                          <a:useSpRect/>
                        </a:txSp>
                      </a:sp>
                    </a:grpSp>
                    <a:sp>
                      <a:nvSpPr>
                        <a:cNvPr id="42" name="TextBox 41"/>
                        <a:cNvSpPr txBox="1"/>
                      </a:nvSpPr>
                      <a:spPr>
                        <a:xfrm rot="18931784">
                          <a:off x="2180870" y="2128463"/>
                          <a:ext cx="1037845" cy="338554"/>
                        </a:xfrm>
                        <a:prstGeom prst="rect">
                          <a:avLst/>
                        </a:prstGeom>
                        <a:noFill/>
                      </a:spPr>
                      <a:txSp>
                        <a:txBody>
                          <a:bodyPr wrap="square" rtlCol="0">
                            <a:spAutoFit/>
                          </a:bodyPr>
                          <a:lstStyle>
                            <a:defPPr>
                              <a:defRPr lang="zh-CN"/>
                            </a:defPPr>
                            <a:lvl1pPr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1pPr>
                            <a:lvl2pPr marL="4572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2pPr>
                            <a:lvl3pPr marL="9144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3pPr>
                            <a:lvl4pPr marL="13716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4pPr>
                            <a:lvl5pPr marL="18288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5pPr>
                            <a:lvl6pPr marL="22860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6pPr>
                            <a:lvl7pPr marL="27432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7pPr>
                            <a:lvl8pPr marL="32004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8pPr>
                            <a:lvl9pPr marL="36576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9pPr>
                          </a:lstStyle>
                          <a:p>
                            <a:r>
                              <a:rPr lang="zh-CN" altLang="en-US" sz="1600" dirty="0">
                                <a:solidFill>
                                  <a:srgbClr val="FF0000"/>
                                </a:solidFill>
                              </a:rPr>
                              <a:t>南北</a:t>
                            </a:r>
                            <a:r>
                              <a:rPr lang="zh-CN" altLang="en-US" sz="1600" dirty="0" smtClean="0">
                                <a:solidFill>
                                  <a:srgbClr val="FF0000"/>
                                </a:solidFill>
                              </a:rPr>
                              <a:t>分量</a:t>
                            </a:r>
                            <a:endParaRPr lang="zh-CN" altLang="en-US" sz="1600" dirty="0">
                              <a:solidFill>
                                <a:srgbClr val="FF0000"/>
                              </a:solidFill>
                            </a:endParaRPr>
                          </a:p>
                        </a:txBody>
                        <a:useSpRect/>
                      </a:txSp>
                    </a:sp>
                    <a:sp>
                      <a:nvSpPr>
                        <a:cNvPr id="43" name="TextBox 42"/>
                        <a:cNvSpPr txBox="1"/>
                      </a:nvSpPr>
                      <a:spPr>
                        <a:xfrm>
                          <a:off x="3762976" y="2746690"/>
                          <a:ext cx="1037845" cy="338554"/>
                        </a:xfrm>
                        <a:prstGeom prst="rect">
                          <a:avLst/>
                        </a:prstGeom>
                        <a:noFill/>
                      </a:spPr>
                      <a:txSp>
                        <a:txBody>
                          <a:bodyPr wrap="square" rtlCol="0">
                            <a:spAutoFit/>
                          </a:bodyPr>
                          <a:lstStyle>
                            <a:defPPr>
                              <a:defRPr lang="zh-CN"/>
                            </a:defPPr>
                            <a:lvl1pPr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1pPr>
                            <a:lvl2pPr marL="4572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2pPr>
                            <a:lvl3pPr marL="9144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3pPr>
                            <a:lvl4pPr marL="13716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4pPr>
                            <a:lvl5pPr marL="1828800" algn="l" rtl="0" fontAlgn="base">
                              <a:spcBef>
                                <a:spcPct val="0"/>
                              </a:spcBef>
                              <a:spcAft>
                                <a:spcPct val="0"/>
                              </a:spcAft>
                              <a:defRPr sz="2400" kern="1200">
                                <a:solidFill>
                                  <a:schemeClr val="tx1"/>
                                </a:solidFill>
                                <a:latin typeface="Arial" panose="020B0604020202020204" charset="0"/>
                                <a:ea typeface="华文中宋" panose="02010600040101010101" pitchFamily="2" charset="-122"/>
                                <a:cs typeface="+mn-cs"/>
                              </a:defRPr>
                            </a:lvl5pPr>
                            <a:lvl6pPr marL="22860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6pPr>
                            <a:lvl7pPr marL="27432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7pPr>
                            <a:lvl8pPr marL="32004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8pPr>
                            <a:lvl9pPr marL="3657600" algn="l" defTabSz="914400" rtl="0" eaLnBrk="1" latinLnBrk="0" hangingPunct="1">
                              <a:defRPr sz="2400" kern="1200">
                                <a:solidFill>
                                  <a:schemeClr val="tx1"/>
                                </a:solidFill>
                                <a:latin typeface="Arial" panose="020B0604020202020204" charset="0"/>
                                <a:ea typeface="华文中宋" panose="02010600040101010101" pitchFamily="2" charset="-122"/>
                                <a:cs typeface="+mn-cs"/>
                              </a:defRPr>
                            </a:lvl9pPr>
                          </a:lstStyle>
                          <a:p>
                            <a:r>
                              <a:rPr lang="zh-CN" altLang="en-US" sz="1600" dirty="0">
                                <a:solidFill>
                                  <a:srgbClr val="FF0000"/>
                                </a:solidFill>
                              </a:rPr>
                              <a:t>东西</a:t>
                            </a:r>
                            <a:r>
                              <a:rPr lang="zh-CN" altLang="en-US" sz="1600" dirty="0" smtClean="0">
                                <a:solidFill>
                                  <a:srgbClr val="FF0000"/>
                                </a:solidFill>
                              </a:rPr>
                              <a:t>分量</a:t>
                            </a:r>
                            <a:endParaRPr lang="zh-CN" altLang="en-US" sz="1600" dirty="0">
                              <a:solidFill>
                                <a:srgbClr val="FF0000"/>
                              </a:solidFill>
                            </a:endParaRPr>
                          </a:p>
                        </a:txBody>
                        <a:useSpRect/>
                      </a:txSp>
                    </a:sp>
                  </a:grpSp>
                </lc:lockedCanvas>
              </a:graphicData>
            </a:graphic>
          </wp:inline>
        </w:drawing>
      </w:r>
    </w:p>
    <w:p>
      <w:pPr>
        <w:ind w:firstLine="1260" w:firstLineChars="600"/>
      </w:pPr>
      <w:r>
        <w:rPr>
          <w:rFonts w:hint="eastAsia"/>
        </w:rPr>
        <w:t>图1 地磁场                             图2 地磁场的分量</w:t>
      </w:r>
    </w:p>
    <w:p>
      <w:pPr>
        <w:spacing w:beforeLines="50" w:afterLines="50"/>
        <w:ind w:firstLine="420"/>
      </w:pPr>
      <w:r>
        <w:rPr>
          <w:rFonts w:hint="eastAsia"/>
        </w:rPr>
        <w:t>手机phyphox软件的磁力计功能可以测得沿X,Y,Z三个方向的磁场大小，需先确定X,Y和Z分别对应手机的哪个方向。通常垂直于手机平面的方向为Z，沿手机短边和长边方向分别为X和Y，实验前先确定一下是否符合。确定方向后，接下来测量地磁场的水平和竖直方向的两个分量，测量时尽量使手机远离音响等具有强磁场的设备。</w:t>
      </w:r>
    </w:p>
    <w:p>
      <w:pPr>
        <w:pStyle w:val="12"/>
        <w:numPr>
          <w:ilvl w:val="0"/>
          <w:numId w:val="1"/>
        </w:numPr>
        <w:snapToGrid w:val="0"/>
        <w:ind w:firstLineChars="0"/>
      </w:pPr>
      <w:r>
        <w:t>测量地磁场的水平分量</w:t>
      </w:r>
      <w:r>
        <w:rPr>
          <w:rFonts w:hint="eastAsia"/>
        </w:rPr>
        <w:t>：将手机水平放置，打开phyphox软件的磁力计功能开关，在水平面上缓慢旋转手机超过2圈，找到磁场在水平方向（X或Y）的峰值</w:t>
      </w:r>
      <w:r>
        <w:rPr>
          <w:position w:val="-12"/>
        </w:rPr>
        <w:object>
          <v:shape id="_x0000_i1025" o:spt="75" type="#_x0000_t75" style="height:18.15pt;width:23.1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rPr>
        <w:t>和谷值</w:t>
      </w:r>
      <w:r>
        <w:rPr>
          <w:position w:val="-12"/>
        </w:rPr>
        <w:object>
          <v:shape id="_x0000_i1026" o:spt="75" type="#_x0000_t75" style="height:18.15pt;width:21.9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rPr>
        <w:t>，峰值和谷值分别对应着手机的短轴或长轴旋转至南北方向时测得的磁场大小，由此计算磁场的水平分量</w:t>
      </w:r>
      <w:r>
        <w:rPr>
          <w:position w:val="-12"/>
        </w:rPr>
        <w:object>
          <v:shape id="_x0000_i1027" o:spt="75" type="#_x0000_t75" style="height:18.15pt;width:16.3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rPr>
        <w:t>。</w:t>
      </w:r>
      <w:r>
        <w:rPr>
          <w:position w:val="-12"/>
        </w:rPr>
        <w:object>
          <v:shape id="_x0000_i1028" o:spt="75" type="#_x0000_t75" style="height:18.15pt;width:105.2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rPr>
        <w:t>。</w:t>
      </w:r>
    </w:p>
    <w:p>
      <w:pPr>
        <w:pStyle w:val="12"/>
        <w:numPr>
          <w:ilvl w:val="0"/>
          <w:numId w:val="1"/>
        </w:numPr>
        <w:snapToGrid w:val="0"/>
        <w:ind w:firstLineChars="0"/>
      </w:pPr>
      <w:r>
        <w:t>测量地磁场的垂直分量</w:t>
      </w:r>
      <w:r>
        <w:rPr>
          <w:rFonts w:hint="eastAsia"/>
        </w:rPr>
        <w:t>：</w:t>
      </w:r>
      <w:r>
        <w:t>将手机沿</w:t>
      </w:r>
      <w:r>
        <w:rPr>
          <w:rFonts w:hint="eastAsia"/>
        </w:rPr>
        <w:t>“南北”方向水平放置，并沿此方向的轴旋转手机，记录磁场在竖直方向（X或Z）的磁场的峰值和谷值，由此计算磁场的垂直分量</w:t>
      </w:r>
      <w:r>
        <w:rPr>
          <w:position w:val="-12"/>
        </w:rPr>
        <w:object>
          <v:shape id="_x0000_i1029" o:spt="75" type="#_x0000_t75" style="height:18.15pt;width:16.3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rPr>
        <w:t>。</w:t>
      </w:r>
    </w:p>
    <w:p>
      <w:pPr>
        <w:pStyle w:val="12"/>
        <w:numPr>
          <w:ilvl w:val="0"/>
          <w:numId w:val="1"/>
        </w:numPr>
        <w:ind w:firstLineChars="0"/>
      </w:pPr>
      <w:r>
        <w:t>由</w:t>
      </w:r>
      <w:r>
        <w:rPr>
          <w:rFonts w:hint="eastAsia"/>
        </w:rPr>
        <w:t>测得的水平分量和垂直分量计算磁感应强度大小和磁倾角。下面左右两图分别为测量水平方向和垂直方向分量时磁力计的显示。</w:t>
      </w:r>
    </w:p>
    <w:p>
      <w:pPr>
        <w:pStyle w:val="12"/>
        <w:ind w:left="840" w:firstLine="0" w:firstLineChars="0"/>
      </w:pPr>
    </w:p>
    <w:p>
      <w:pPr>
        <w:jc w:val="center"/>
      </w:pPr>
      <w:r>
        <w:rPr>
          <w:rFonts w:hint="eastAsia"/>
        </w:rPr>
        <w:drawing>
          <wp:inline distT="0" distB="0" distL="0" distR="0">
            <wp:extent cx="5262245" cy="373507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6" cstate="print"/>
                    <a:srcRect/>
                    <a:stretch>
                      <a:fillRect/>
                    </a:stretch>
                  </pic:blipFill>
                  <pic:spPr>
                    <a:xfrm>
                      <a:off x="0" y="0"/>
                      <a:ext cx="5262245" cy="3735070"/>
                    </a:xfrm>
                    <a:prstGeom prst="rect">
                      <a:avLst/>
                    </a:prstGeom>
                    <a:noFill/>
                    <a:ln w="9525">
                      <a:noFill/>
                      <a:miter lim="800000"/>
                      <a:headEnd/>
                      <a:tailEnd/>
                    </a:ln>
                  </pic:spPr>
                </pic:pic>
              </a:graphicData>
            </a:graphic>
          </wp:inline>
        </w:drawing>
      </w:r>
    </w:p>
    <w:p>
      <w:pPr>
        <w:jc w:val="left"/>
      </w:pPr>
    </w:p>
    <w:p>
      <w:pPr>
        <w:jc w:val="left"/>
      </w:pPr>
      <w:r>
        <w:rPr>
          <w:rFonts w:hint="eastAsia"/>
          <w:b/>
        </w:rPr>
        <w:t>注意事项</w:t>
      </w:r>
      <w:r>
        <w:rPr>
          <w:rFonts w:hint="eastAsia"/>
        </w:rPr>
        <w:t>：有些使用过久的手机可能磁力计不灵敏，曲线不断上下跳动，无法调清晰。遇到这种情况请另借一台手机再进行实验。</w:t>
      </w:r>
    </w:p>
    <w:p>
      <w:pPr>
        <w:jc w:val="left"/>
      </w:pPr>
    </w:p>
    <w:p>
      <w:pPr>
        <w:jc w:val="left"/>
      </w:pPr>
      <w:r>
        <w:rPr>
          <w:rFonts w:hint="eastAsia"/>
          <w:b/>
        </w:rPr>
        <w:t>要求</w:t>
      </w:r>
      <w:r>
        <w:rPr>
          <w:rFonts w:hint="eastAsia"/>
        </w:rPr>
        <w:t>：1、缓慢旋转超过两个周期，曲线清晰，截屏保存作为实验内容部分。</w:t>
      </w:r>
    </w:p>
    <w:p>
      <w:pPr>
        <w:ind w:firstLine="630" w:firstLineChars="300"/>
        <w:jc w:val="left"/>
      </w:pPr>
      <w:r>
        <w:rPr>
          <w:rFonts w:hint="eastAsia"/>
        </w:rPr>
        <w:t>2、列出数据表格，写出完整的实验报告</w:t>
      </w:r>
    </w:p>
    <w:p>
      <w:pPr>
        <w:ind w:firstLine="630" w:firstLineChars="300"/>
        <w:jc w:val="left"/>
      </w:pPr>
      <w:r>
        <w:rPr>
          <w:rFonts w:hint="eastAsia"/>
        </w:rPr>
        <w:t>3、读数时把图形放大，点击图形下方的“读取数据”，读取峰值和谷值</w:t>
      </w:r>
    </w:p>
    <w:p>
      <w:pPr>
        <w:ind w:firstLine="630" w:firstLineChars="300"/>
        <w:jc w:val="left"/>
      </w:pPr>
    </w:p>
    <w:p>
      <w:pPr>
        <w:jc w:val="left"/>
      </w:pPr>
      <w:r>
        <w:rPr>
          <w:rFonts w:hint="eastAsia"/>
          <w:b/>
        </w:rPr>
        <w:t>思考题</w:t>
      </w:r>
      <w:r>
        <w:rPr>
          <w:rFonts w:hint="eastAsia"/>
        </w:rPr>
        <w:t>：1、简述地磁场的作用。</w:t>
      </w:r>
    </w:p>
    <w:p>
      <w:pPr>
        <w:jc w:val="left"/>
      </w:pPr>
      <w:r>
        <w:rPr>
          <w:rFonts w:hint="eastAsia"/>
        </w:rPr>
        <w:t xml:space="preserve">        2、测量水平分量时的X和Y轴磁力计测量值有什么关系？</w:t>
      </w:r>
    </w:p>
    <w:p>
      <w:pPr>
        <w:jc w:val="left"/>
      </w:pPr>
      <w:r>
        <w:rPr>
          <w:rFonts w:hint="eastAsia"/>
        </w:rPr>
        <w:t xml:space="preserve">        3、测量水平分量时的Z轴磁力计和测量垂直分量时的Y轴磁力计的值变化的原因有哪些？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华文中宋">
    <w:panose1 w:val="02010600040101010101"/>
    <w:charset w:val="86"/>
    <w:family w:val="swiss"/>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B5E80"/>
    <w:multiLevelType w:val="multilevel"/>
    <w:tmpl w:val="25EB5E8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009A0"/>
    <w:rsid w:val="00065B35"/>
    <w:rsid w:val="00072BC2"/>
    <w:rsid w:val="00122ED6"/>
    <w:rsid w:val="001452C3"/>
    <w:rsid w:val="0018451F"/>
    <w:rsid w:val="001A2CC0"/>
    <w:rsid w:val="001F5B7E"/>
    <w:rsid w:val="00290522"/>
    <w:rsid w:val="002E3717"/>
    <w:rsid w:val="002F1C2B"/>
    <w:rsid w:val="0031326A"/>
    <w:rsid w:val="00333BD9"/>
    <w:rsid w:val="003375DB"/>
    <w:rsid w:val="00370AAC"/>
    <w:rsid w:val="00372B94"/>
    <w:rsid w:val="004C6DEE"/>
    <w:rsid w:val="004C6E90"/>
    <w:rsid w:val="0054335D"/>
    <w:rsid w:val="006333E6"/>
    <w:rsid w:val="006749BC"/>
    <w:rsid w:val="007951AA"/>
    <w:rsid w:val="007B1368"/>
    <w:rsid w:val="007C5992"/>
    <w:rsid w:val="00817E74"/>
    <w:rsid w:val="00850E10"/>
    <w:rsid w:val="008A2929"/>
    <w:rsid w:val="00973B20"/>
    <w:rsid w:val="009A426E"/>
    <w:rsid w:val="009A68DB"/>
    <w:rsid w:val="009B752B"/>
    <w:rsid w:val="009E6852"/>
    <w:rsid w:val="00A17F4B"/>
    <w:rsid w:val="00AF1670"/>
    <w:rsid w:val="00B63F53"/>
    <w:rsid w:val="00B853AE"/>
    <w:rsid w:val="00B87FF7"/>
    <w:rsid w:val="00BD2346"/>
    <w:rsid w:val="00BF376E"/>
    <w:rsid w:val="00C009A0"/>
    <w:rsid w:val="00C0659D"/>
    <w:rsid w:val="00CF371E"/>
    <w:rsid w:val="00D84300"/>
    <w:rsid w:val="00DA77CF"/>
    <w:rsid w:val="00DE7F34"/>
    <w:rsid w:val="00E0243D"/>
    <w:rsid w:val="00E17C42"/>
    <w:rsid w:val="00E8639B"/>
    <w:rsid w:val="00E87A76"/>
    <w:rsid w:val="00F15043"/>
    <w:rsid w:val="1B566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rPr>
      <w:sz w:val="18"/>
      <w:szCs w:val="18"/>
    </w:rPr>
  </w:style>
  <w:style w:type="paragraph" w:styleId="5">
    <w:name w:val="footer"/>
    <w:basedOn w:val="1"/>
    <w:link w:val="10"/>
    <w:semiHidden/>
    <w:unhideWhenUsed/>
    <w:qFormat/>
    <w:uiPriority w:val="99"/>
    <w:pPr>
      <w:tabs>
        <w:tab w:val="center" w:pos="4153"/>
        <w:tab w:val="right" w:pos="8306"/>
      </w:tabs>
      <w:snapToGrid w:val="0"/>
      <w:jc w:val="left"/>
    </w:pPr>
    <w:rPr>
      <w:sz w:val="18"/>
      <w:szCs w:val="18"/>
    </w:rPr>
  </w:style>
  <w:style w:type="paragraph" w:styleId="6">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semiHidden/>
    <w:uiPriority w:val="99"/>
    <w:rPr>
      <w:sz w:val="18"/>
      <w:szCs w:val="18"/>
    </w:rPr>
  </w:style>
  <w:style w:type="character" w:customStyle="1" w:styleId="10">
    <w:name w:val="页脚 Char"/>
    <w:basedOn w:val="8"/>
    <w:link w:val="5"/>
    <w:semiHidden/>
    <w:qFormat/>
    <w:uiPriority w:val="99"/>
    <w:rPr>
      <w:sz w:val="18"/>
      <w:szCs w:val="18"/>
    </w:rPr>
  </w:style>
  <w:style w:type="character" w:customStyle="1" w:styleId="11">
    <w:name w:val="批注框文本 Char"/>
    <w:basedOn w:val="8"/>
    <w:link w:val="4"/>
    <w:semiHidden/>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1 Char"/>
    <w:basedOn w:val="8"/>
    <w:link w:val="2"/>
    <w:uiPriority w:val="9"/>
    <w:rPr>
      <w:b/>
      <w:bCs/>
      <w:kern w:val="44"/>
      <w:sz w:val="44"/>
      <w:szCs w:val="44"/>
    </w:rPr>
  </w:style>
  <w:style w:type="character" w:customStyle="1" w:styleId="14">
    <w:name w:val="标题 2 Char"/>
    <w:basedOn w:val="8"/>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183</Words>
  <Characters>1048</Characters>
  <Lines>8</Lines>
  <Paragraphs>2</Paragraphs>
  <TotalTime>72</TotalTime>
  <ScaleCrop>false</ScaleCrop>
  <LinksUpToDate>false</LinksUpToDate>
  <CharactersWithSpaces>1229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2020-05-19T03:00:00Z</dcterms:created>
  <dc:creator>LiJianwei</dc:creator>
  <cp:lastModifiedBy>Administrator</cp:lastModifiedBy>
  <dcterms:modified xsi:type="dcterms:W3CDTF">2020-05-19T12:06:50Z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