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Аналітичний звіт: Глибоке дослідження конкурентного ландшафту та цільових ринків для продукту LiveMedCard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Сектор цифрової охорони здоров’я (Digital Health) та технологій для догляду за літніми людьми (Agetech) перебуває на етапі безпрецедентної трансформації. Глобальний ринок штучного інтелекту в індустрії догляду за літніми людьми, який у 2025 році оцінюється у 54,36 млрд доларів США, за прогнозами експертів, досягне 158,49 млрд доларів США до 2030 року, демонструючи сукупний середньорічний темп зростання (CAGR) на рівні 23,8%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Водночас інфраструктура персональних медичних карток (PHR) залишається глибоко фрагментованою, орієнтованою переважно на інтеграцію з базами даних клінік через API, залишаючи поза увагою величезний масив неструктурованих паперових документів, з якими щодня стикаються сім'ї пацієнтів.</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Проведений аналіз виявляє чітко окреслений ринковий вакуум (whitespace) для продукту </w:t>
      </w:r>
      <w:r w:rsidDel="00000000" w:rsidR="00000000" w:rsidRPr="00000000">
        <w:rPr>
          <w:rFonts w:ascii="Google Sans" w:cs="Google Sans" w:eastAsia="Google Sans" w:hAnsi="Google Sans"/>
          <w:b w:val="1"/>
          <w:bCs w:val="1"/>
          <w:color w:val="1f1f1f"/>
          <w:rtl w:val="0"/>
        </w:rPr>
        <w:t xml:space="preserve">LiveMedCard</w:t>
      </w:r>
      <w:r w:rsidDel="00000000" w:rsidR="00000000" w:rsidRPr="00000000">
        <w:rPr>
          <w:rFonts w:ascii="Google Sans" w:cs="Google Sans" w:eastAsia="Google Sans" w:hAnsi="Google Sans"/>
          <w:color w:val="1f1f1f"/>
          <w:rtl w:val="0"/>
        </w:rPr>
        <w:t xml:space="preserve">. Ця ніша формується на перетині чотирьох ключових векторів. По-перше, фокус на дорослих дітях віком 40–60 років (так зване «покоління сендвіч») як на головних платниках. У США налічується 63 мільйони неформальних опікунів, які несуть колосальний фінансовий та емоційний тягар, витрачаючи в середньому 27 годин на тиждень на догляд</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По-перше, готовність платити (WTP) у цьому сегменті є надзвичайно високою і підтверджується успіхом як B2C-додатків, так і B2B2C-платформ, де чеки варіюються від 5 до 450 доларів США на місяць</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По-друге, радикальні зміни в регуляторному ландшафті створюють унікальну конкурентну перевагу для архітектури local-first. Оновлення правила Федеральної торгової комісії США (FTC) щодо повідомлення про витоки медичних даних (Health Breach Notification Rule — HBNR), яке набуло чинності в липні 2024 року, класифікує несанкціоновану передачу даних хмарним провайдерам як витік, що вимагає публічного розголосу</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У Європейському Союзі стаття 9 Загального регламенту захисту даних (GDPR) встановлює найвищий рівень захисту для медичних даних, роблячи хмарну обробку юридично ризикованою</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Обробка даних безпосередньо на пристрої (on-device) повністю нівелює ці ризики.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По-третє, ринок наповнюється ШІ-асистентами та загальними великими мовними моделями (LLM), які схильні до галюцинацій при обробці медичних даних. Використання детермінованого шару безпеки для аналізу взаємодій лікарських засобів у LiveMedCard замість покладання на ймовірнісні відповіді штучного інтелекту усуває ризик клінічних помилок та дозволяє уникнути жорсткої класифікації як медичного виробу (SaMD) або високоризикової ШІ-системи відповідно до статей 14 та 15 EU AI Act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По-четверте, сумісність зі стандартом HL7 FHIR робить продукт готовим до майбутньої інтеграції з європейським простором медичних даних (EHDS), обов’язкова підтримка якого для первинного використання даних стартує у 2029 році</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Таким чином, ніша є не лише валідною та фінансово місткою, але й стратегічно захищеною від монополістів завдяки архітектурним рішенням, орієнтованим на приватність та детерміновану безпеку.</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Прямі конкуренти: Архітектура та функціональний ландшафт</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Сучасний ринок персональних медичних записів (PHR) та медичних агрегаторів еволюціонував від статичних веб-порталів до динамічних мобільних застосунків. Однак глибокий аналіз прямого конкурентного поля виявляє фундаментальний розкол: більшість платформ покладаються на цифрові інтеграції (API), ігноруючи фізичні документи, тоді як ШІ-стартапи, що аналізують документи, використовують хмарні обчислення, ігноруючи приватність.</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Нижче наведено порівняльний аналіз ключових рішень, які агрегують медичні дані та намагаються надавати структуровану картину стану здоров'я.</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Назва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Ринок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Користувач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Джерело даних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AI-екстракція (OCR)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Перевірка взаємодій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Local-first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FHIR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Платник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Ціна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Стадія / Фандинг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Джерело + рік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Apple Health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 UK, Канада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(SMART on FHIR), Wearables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(тільки структуровані дані)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(базова)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(E2E шифрування iCloud)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(R4)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Екосистема Apple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Безкоштовно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14, 15]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лікарень (FHIR)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(R4)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Некомерційний проєкт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Безкоштовно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Commons Project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 17, 18]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Fasten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 / Опікун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(70k+ клінік), ручний ввід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(Self-hosted)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(R4)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 (за Cloud-версію)</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OSS, Cloud: $6.49-$25.99/міс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Bootstrapped / 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 21]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b.well Connected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Платники, Клініки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 API, Wearables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(через екосистему)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(Хмара)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Роботодавець / Страховик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контракти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C ($40M), Total: $93.5M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 23, 24]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CareZone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Опікун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Фото рецептів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(OCR ліків)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Страховики (Фарма)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Придбано (зарито)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Придбано Walmart (2020)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 26]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Ada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Глобальний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Опитування (ручне)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(Cloud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Фарма /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B ($120M)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 28, 29] (2022)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Docus.ai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 / ЄС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 Фотографії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(LLM аналіз)</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(ймовірнісна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(Cloud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$3.99 - $7.99/міс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30, 31]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Hello Heart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 (через роботодавця)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Підключений тонометр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 (моніторинг прийому)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Роботодавець (B2B2C)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підписка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D ($138M)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 33]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 Note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США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Клініка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Опитування пацієнта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Клініка (B2B)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підписка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Series A ($17.1M)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 35] (2022)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Doctolib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ЄС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 / Лікар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ручне завантаження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Гібрид (Месенджер E2E)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Внутрішній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Клініка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B2B підписка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Unicorn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 37]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Helsi (eHealth 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Україна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eHealth, лабораторії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 (Хмара)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Можливо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Клініки / Реклама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Безкоштовно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Придбано (Kyivstar)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 39] (2024)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Vitadock (Medisana)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ЄС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Пацієнт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Bluetooth пристрої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Гібрид (Cloud sync)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Ні</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Продаж пристроїв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Безкоштовно</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Corporate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 41] (2024)</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Конкурентний аналіз демонструє, що лідери інфраструктурного обміну даними, такі як Fasten Health та CommonHealth, зосереджені виключно на електронному отриманні даних через стандарти SMART on FHIR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Хоча це працює для сучасних медичних систем США, це абсолютно не вирішує проблему літніх людей, які повертаються від лікаря з роздрукованими паперовими виписками. З іншого боку, генеративні асистенти, такі як Docus.ai, дозволяють завантажувати фотографії для інтерпретації, але роблять це у хмарі, створюючи ризики приватності та використовуючи ймовірнісні моделі для видачі медичних порад</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LiveMedCard інтегрує OCR та ШІ безпосередньо на пристрої, доповнюючи це детермінованим аналізом безпеки, чого немає в жодному з існуючих масових рішень.</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Суміжні та непрямі конкуренти</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глибокого розуміння ринкового ландшафту недостатньо аналізувати лише прямі аналоги. Дорослі діти, які доглядають за батьками, вже використовують різноманітні інструменти для задоволення своїх потреб (Jobs-to-be-Done). Суміжний ринок можна розділити на кілька ключових категорій.</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Платформи Personal Health Record (PHR) та портали пацієнтів</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Ця категорія об'єднує інструменти, призначені для консолідації медичної історії. Найвідомішим прикладом є Epic MyChart, який контролює значну частку ринку порталів у США та надає доступ до результатів аналізів, призначень і клінічних нотаток</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Проте його обмеження полягає в прив'язці до однієї медичної системи, тоді як літні пацієнти зазвичай обслуговуються у багатьох непов'язаних закладах. Платформа b.well Connected Health розв'язує цю проблему фрагментації, об'єднуючи дані з понад 60 000 джерел, але вона орієнтована на страховиків та великих роботодавців, а не на прямого споживача-опікуна</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Fasten Health пропонує чудову альтернативу для гіків, дозволяючи розгорнути власний сервер (self-hosted) для агрегації FHIR-даних, але цей підхід є занадто складним для пересічного користувача</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Медикаментозний менеджмент та чекери взаємодій</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Моніторинг прийому ліків є критичним болем для сімей. Лідер ринку Medisafe історично пропонував безкоштовний сервіс, але з 2026 року впровадив жорстку монетизацію: безкоштовний рівень обмежено лише двома препаратами. Повноцінний доступ, що включає управління профілями утриманців (dependents) та перевірку взаємодій ліків, тепер коштує 4,99 дол. США на місяць або 39,99 дол. США на рік</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Застосунки на кшталт Pillo намагаються перехопити безкоштовну аудиторію, але наразі не пропонують чекерів взаємодій</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Класичні веб-чекери, такі як Drugs.com або WebMD, вимагають ручного введення складних фармакологічних назв, що призводить до помилок та займає багато часу в опікунів.</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Організатори документів та сканери</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Хоча універсальні додатки для сканування (наприклад, Adobe Scan чи Microsoft Lens) використовуються родинами для збереження паперових виписок, вони створюють просто "мертвий" архів PDF-файлів. Ці документи не аналізуються, не структурують показники здоров'я в лонгітюдний таймлайн і не попереджають про медичні ризики. Спроби створити медичні органайзери (на кшталт Genie MD або зниклого CareZone, чиї активи придбав Walmart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свідчать про потребу ринку, але демонструють обмеженість технологій минулого покоління без використання локальних ШІ-моделей.</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Health Assistants та Симптом-чекери</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Такі компанії, як Ada Health, що залучила 120 млн доларів США інвестицій, змінили парадигму попередньої діагностики, пропонуючи алгоритмічні опитування для оцінки симптомів</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Docus.ai пішов далі, дозволяючи пацієнтам завантажувати результати аналізів для розшифровки за допомогою генеративного ШІ (з тарифами від 3,99 до 7,99 дол. США на місяць)</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Проте ці системи не створюють безперервного таймлайну здоров'я і повністю покладаються на хмарну обробку даних.</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Координація догляду за літніми (Caregiver Platforms)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Індустрія догляду за літніми (eldercare) стрімко зростає. Платформа Papa залучила понад 240 млн доларів США, пропонуючи "внуків за викликом" (Papa Pals) і співпрацюючи зі страховими планами Medicare Advantage. Доведено, що їхній підхід знижує медичні витрати на 9%</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Компанія Cariloop (20 млн доларів США у квітні 2024 року) та Homethrive (20 млн доларів США у липні 2024 року) пропонують послуги підтримки опікунів через корпоративні бенефіти</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Платформа ianacare, що залучила 12,1 млн доларів США, допомагає координувати соціальні та логістичні завдання родини</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Ці сервіси вирішують логістичні проблеми, але не надають технологічного інструменту для детермінованого клінічного контролю над документами.</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Пряме використання ChatGPT/Gemini (Головна загроза приватності)</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Де-факто, найбільшим непрямим конкурентом для розшифровки медичних аналізів стали споживчі версії ChatGPT та Gemini. Дорослі діти фотографують виписки батьків і просять ШІ пояснити їх. Проте це створює колосальний провал у конфіденційності. Споживчі версії цих платформ не підписують BAA (Business Associate Agreement) для HIPAA-комплаєнсу, а введені медичні дані (PHI) можуть використовуватися для навчання майбутніх мовних моделей</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Згідно з дослідженнями, введення даних пацієнтів у несанкціоновані хмарні системи є порушенням регуляторних норм, а ймовірнісні моделі регулярно продукують галюцинації у дозуваннях та взаємодіях препаратів, що створює загрозу життю літніх людей</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Поведінка сегмента та готовність платити (WTP)</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Демографічний профіль та психологія «сендвіч-покоління»</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Цільовою аудиторією LiveMedCard є не самі літні люди, а їхні дорослі діти віком 40–60 років. Цей сегмент відомий як «покоління сендвіч», оскільки вони затиснуті між обов'язками з виховання власних дітей та доглядом за старіючими батьками. Згідно з опитуваннями Pew Research, понад 54% американців у віці 40-49 років належать до цієї категорії</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 США у 2025 році налічується </w:t>
      </w:r>
      <w:r w:rsidDel="00000000" w:rsidR="00000000" w:rsidRPr="00000000">
        <w:rPr>
          <w:rFonts w:ascii="Google Sans" w:cs="Google Sans" w:eastAsia="Google Sans" w:hAnsi="Google Sans"/>
          <w:b w:val="1"/>
          <w:bCs w:val="1"/>
          <w:color w:val="1f1f1f"/>
          <w:rtl w:val="0"/>
        </w:rPr>
        <w:t xml:space="preserve">63 мільйони неформальних опікунів</w:t>
      </w:r>
      <w:r w:rsidDel="00000000" w:rsidR="00000000" w:rsidRPr="00000000">
        <w:rPr>
          <w:rFonts w:ascii="Google Sans" w:cs="Google Sans" w:eastAsia="Google Sans" w:hAnsi="Google Sans"/>
          <w:color w:val="1f1f1f"/>
          <w:rtl w:val="0"/>
        </w:rPr>
        <w:t xml:space="preserve"> (Впевненість: High). З них 59 мільйонів забезпечують догляд за дорослими людьми. Ситуація є критичною: майже кожен четвертий опікун витрачає на догляд понад 40 годин на тиждень, а середній показник становить 27 годин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Близько 47% опікунів віком до 50 років паралельно виховують дітей</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У Європі ситуація не менш напружена: до 80% усього довгострокового догляду (Long-Term Care) забезпечується неформальними опікунами, переважно жінками, що створює значний гендерний розрив в оплаті праці та зайнятості</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Дорослі діти переважно ведуть медичну історію батьків у хаотичний спосіб: збирають паперові довідки в теки, зберігають фотографії аналізів у галереях смартфонів (упереміш з особистими фото) або намагаються систематизувати дані в Google Таблицях. Особливим болем є медикаментозний менеджмент: близько 80% опікунів відповідають за управління ліками своїх батьків</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Більше того, 57% опікунів змушені виконувати складні медичні завдання (контроль дозувань, ін'єкції), хоча лише близько 11% з них отримали бодай якусь формальну медичну підготовку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Це породжує постійну тривогу, почуття провини та страх припуститися фатальної помилки через несумісність ліків, призначених різними спеціалістами.</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Готовність платити (Willingness to Pay) та фінансовий тиск</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Економічна цінність неформального догляду лише в США у 2024 році оцінювалась у понад 1 трильйон доларів США</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Попри те, що сім'ї витрачають значний час, вони також зазнають величезних фінансових втрат. У середньому опікун у США витрачає близько 7 200 доларів США на рік зі своєї кишені на потреби, пов'язані з доглядом</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Майже половина опікунів повідомляють про серйозні фінансові наслідки, такі як борги або виснаження заощаджень</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Незважаючи на фінансовий тиск, готовність платити (WTP) за інструменти, що гарантують «peace of mind» (душевний спокій), залишається високою, особливо у сегменті середнього та вищого класу.</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Підписки на мобільні застосунки (B2C):</w:t>
      </w:r>
      <w:r w:rsidDel="00000000" w:rsidR="00000000" w:rsidRPr="00000000">
        <w:rPr>
          <w:rFonts w:ascii="Google Sans" w:cs="Google Sans" w:eastAsia="Google Sans" w:hAnsi="Google Sans"/>
          <w:color w:val="1f1f1f"/>
          <w:rtl w:val="0"/>
        </w:rPr>
        <w:t xml:space="preserve"> Бенчмарк встановлений такими продуктами, як Medisafe, який успішно монетизує аудиторію за 4,99 дол. США на місяць або 39,99 дол. США на рік за базові функції відстеження ліків та взаємодій</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AI-сервіси на кшталт Docus.ai тарифікують доступ від 3,99 до 7,99 дол. США на місяць за розшифровку кількох медичних документів</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Преміальні консьєрж-сервіси (B2C / B2B2C):</w:t>
      </w:r>
      <w:r w:rsidDel="00000000" w:rsidR="00000000" w:rsidRPr="00000000">
        <w:rPr>
          <w:rFonts w:ascii="Google Sans" w:cs="Google Sans" w:eastAsia="Google Sans" w:hAnsi="Google Sans"/>
          <w:color w:val="1f1f1f"/>
          <w:rtl w:val="0"/>
        </w:rPr>
        <w:t xml:space="preserve"> Послуги координації догляду, такі як Wellthy, стягують з індивідуальних клієнтів від 450 до 498 доларів США на місяць (за приватну підписку), що доводить наявність аудиторії, готової платити значні кошти за делегування медичної та адміністративної рутини</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Коли такі послуги надаються через роботодавця (B2B2C), працівники охоче сплачують copay (співплатежі) у розмірі близько 15 доларів США за використання сервісу</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Таким чином, для B2C MVP продукту LiveMedCard оптимальний ціновий коридор становить 5–10 євро/доларів США на місяць (або 50–60 на рік), що психологічно відповідає вартості базових цифрових підписок і не створює надмірного фінансового бар'єру.</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Розмір ринку (TAM / SAM / SOM)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Глобальний ринок цифрової охорони здоров'я (Digital Health) перебуває у фазі гіперзростання. Оцінений у 199,14 млрд доларів США у 2025 році, він має досягти 573,53 млрд доларів США до 2030 року (CAGR 23,6%)</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Окремий субсегмент ШІ у догляді за літніми (AI in Aging and Elderly Care) оцінюється у 54,36 млрд доларів США у 2025 році з прогнозом зростання до 158,49 млрд доларів США у 2030 році (CAGR 23,8%)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Ринок програмного забезпечення для персональних медичних карток (PHR) досяг ~11,97 млрд доларів США у 2025 році і, за прогнозами, подвоїться до 2035 року</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Водночас індустрія систем управління медикаментами (Medication Management Systems) сягне 12,79 млрд доларів США до 2030 року</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Базуючись на цих даних та демографічних тенденціях, економічна модель для LiveMedCard виглядає наступним чином:</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Total Addressable Market (TAM) (Впевненість: High):</w:t>
      </w:r>
      <w:r w:rsidDel="00000000" w:rsidR="00000000" w:rsidRPr="00000000">
        <w:rPr>
          <w:rFonts w:ascii="Google Sans" w:cs="Google Sans" w:eastAsia="Google Sans" w:hAnsi="Google Sans"/>
          <w:color w:val="1f1f1f"/>
          <w:rtl w:val="0"/>
        </w:rPr>
        <w:t xml:space="preserve"> TAM визначається загальною кількістю сімейних опікунів, які доглядають за дорослими людьми. У США ця цифра становить 59 мільйонів осіб</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Загальна чисельність населення ЄС перевищує населення США, а процеси старіння (silver tsunami) там виражені ще сильніше. Припускаючи консервативну оцінку в 60 мільйонів опікунів у ЄС, загальна кількість потенційних користувачів у США та Європі сягає 120 мільйонів осіб. За умови середньої річної вартості підписки у 60 доларів США, загальний обсяг ринку (TAM) оцінюється у </w:t>
      </w:r>
      <w:r w:rsidDel="00000000" w:rsidR="00000000" w:rsidRPr="00000000">
        <w:rPr>
          <w:rFonts w:ascii="Google Sans" w:cs="Google Sans" w:eastAsia="Google Sans" w:hAnsi="Google Sans"/>
          <w:b w:val="1"/>
          <w:bCs w:val="1"/>
          <w:color w:val="1f1f1f"/>
          <w:rtl w:val="0"/>
        </w:rPr>
        <w:t xml:space="preserve">7,2 мільярда доларів США щорічно</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Serviceable Available Market (SAM) (Впевненість: Medium):</w:t>
      </w:r>
      <w:r w:rsidDel="00000000" w:rsidR="00000000" w:rsidRPr="00000000">
        <w:rPr>
          <w:rFonts w:ascii="Google Sans" w:cs="Google Sans" w:eastAsia="Google Sans" w:hAnsi="Google Sans"/>
          <w:color w:val="1f1f1f"/>
          <w:rtl w:val="0"/>
        </w:rPr>
        <w:t xml:space="preserve"> SAM фокусується виключно на опікунах «сендвіч-покоління», які активно користуються смартфонами і стикаються з проблемою управління складними медикаментозними режимами (поліпрагмазія). У США близько 47% опікунів віком до 50 років паралельно виховують дітей</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Це формує ядро платоспроможної аудиторії у розмірі приблизно 27 мільйонів осіб у США та аналогічної кількості в ЄС (разом ~50-55 мільйонів). Орієнтуючись на найбільш діджиталізовану частку (близько 50%), SAM оцінюється у 25 мільйонів користувачів, що генерує ринковий потенціал у </w:t>
      </w:r>
      <w:r w:rsidDel="00000000" w:rsidR="00000000" w:rsidRPr="00000000">
        <w:rPr>
          <w:rFonts w:ascii="Google Sans" w:cs="Google Sans" w:eastAsia="Google Sans" w:hAnsi="Google Sans"/>
          <w:b w:val="1"/>
          <w:bCs w:val="1"/>
          <w:color w:val="1f1f1f"/>
          <w:rtl w:val="0"/>
        </w:rPr>
        <w:t xml:space="preserve">1,5 мільярда доларів США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Serviceable Obtainable Market (SOM) (Впевненість: Medium):</w:t>
      </w:r>
      <w:r w:rsidDel="00000000" w:rsidR="00000000" w:rsidRPr="00000000">
        <w:rPr>
          <w:rFonts w:ascii="Google Sans" w:cs="Google Sans" w:eastAsia="Google Sans" w:hAnsi="Google Sans"/>
          <w:color w:val="1f1f1f"/>
          <w:rtl w:val="0"/>
        </w:rPr>
        <w:t xml:space="preserve"> У горизонті найближчих 1–3 років, з огляду на конкуренцію та витрати на залучення клієнтів (CAC), реалістично захопити від 1% до 2% цільової аудиторії (SAM) через комбінацію прямих B2C продажів (app stores) та партнерств (B2B2C через страховиків чи платформи бенефітів). Це забезпечить від 250 000 до 500 000 активних платних підписок, що еквівалентно </w:t>
      </w:r>
      <w:r w:rsidDel="00000000" w:rsidR="00000000" w:rsidRPr="00000000">
        <w:rPr>
          <w:rFonts w:ascii="Google Sans" w:cs="Google Sans" w:eastAsia="Google Sans" w:hAnsi="Google Sans"/>
          <w:b w:val="1"/>
          <w:bCs w:val="1"/>
          <w:color w:val="1f1f1f"/>
          <w:rtl w:val="0"/>
        </w:rPr>
        <w:t xml:space="preserve">15–30 мільйонам доларів США річного регулярного доходу (ARR)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Регуляторний ландшафт: Від бар'єра до маркетингової зброї</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Оборот медичних даних є одним із найбільш жорстко регульованих процесів у світі. Однак саме тут архітектура LiveMedCard — </w:t>
      </w:r>
      <w:r w:rsidDel="00000000" w:rsidR="00000000" w:rsidRPr="00000000">
        <w:rPr>
          <w:rFonts w:ascii="Google Sans" w:cs="Google Sans" w:eastAsia="Google Sans" w:hAnsi="Google Sans"/>
          <w:b w:val="1"/>
          <w:bCs w:val="1"/>
          <w:color w:val="1f1f1f"/>
          <w:rtl w:val="0"/>
        </w:rPr>
        <w:t xml:space="preserve">local-first (on-device обробка)</w:t>
      </w:r>
      <w:r w:rsidDel="00000000" w:rsidR="00000000" w:rsidRPr="00000000">
        <w:rPr>
          <w:rFonts w:ascii="Google Sans" w:cs="Google Sans" w:eastAsia="Google Sans" w:hAnsi="Google Sans"/>
          <w:color w:val="1f1f1f"/>
          <w:rtl w:val="0"/>
        </w:rPr>
        <w:t xml:space="preserve"> — перетворює найскладніший юридичний бар'єр на нездоланну конкурентну перевагу проти хмарних ШІ-конкурентів.</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Ринок США: FTC HBNR, HIPAA та FDA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 США B2C-застосунки для здоров'я історично знаходилися у «сірій зоні», оскільки Закон про перенесення та підзвітність медичного страхування (HIPAA) поширюється переважно на клініки та їхніх підрядників, а не на самостійно зібрані дані користувачів</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Однак у липні 2024 року Федеральна торгова комісія (FTC) кардинально змінила правила гри, ввівши в дію оновлене Правило повідомлення про порушення безпеки медичних даних (Health Breach Notification Rule — HBNR)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Оновлене HBNR чітко визначає, що будь-який мобільний застосунок, який дозволяє відстежувати стан здоров'я і має технічну можливість отримувати дані з кількох джерел (навіть якщо це комбінація введених користувачем симптомів та геолокації або стороннього API), класифікується як постачальник персональних медичних записів (PHR)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Ключовим ризиком для хмарних застосунків є те, що FTC тепер трактує «несанкціонований доступ» (unauthorized acquisition) не лише як злом хакерами, але й як будь-яку несанкціоновану передачу даних третім сторонам — наприклад, відправку фотографій аналізів на сервери OpenAI без чіткої згоди пацієнта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За таких умов розробник зобов'язаний публічно повідомляти ЗМІ та FTC про витік, що означає смерть репутації компанії. </w:t>
      </w:r>
      <w:r w:rsidDel="00000000" w:rsidR="00000000" w:rsidRPr="00000000">
        <w:rPr>
          <w:rFonts w:ascii="Google Sans" w:cs="Google Sans" w:eastAsia="Google Sans" w:hAnsi="Google Sans"/>
          <w:b w:val="1"/>
          <w:bCs w:val="1"/>
          <w:color w:val="1f1f1f"/>
          <w:rtl w:val="0"/>
        </w:rPr>
        <w:t xml:space="preserve">Перевага LiveMedCard:</w:t>
      </w:r>
      <w:r w:rsidDel="00000000" w:rsidR="00000000" w:rsidRPr="00000000">
        <w:rPr>
          <w:rFonts w:ascii="Google Sans" w:cs="Google Sans" w:eastAsia="Google Sans" w:hAnsi="Google Sans"/>
          <w:color w:val="1f1f1f"/>
          <w:rtl w:val="0"/>
        </w:rPr>
        <w:t xml:space="preserve"> Уся екстракція (OCR) та логіка структуризації працюють виключно на процесорі смартфона. Відсутність передачі даних у хмару автоматично знімає ризик несанкціонованої розкриття за правилом HBNR, що дозволяє агресивно рекламувати продукт як "на 100% приватний".</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Окрім того, оскільки LiveMedCard працює як інструмент підтримки та не ставить діагнозів (детермінований чекер ліків спирається на затверджені фармакологічні бази, а не генерує поради), він не потрапляє під суворі вимоги FDA до програмного забезпечення як медичного виробу (SaMD), зберігаючи статус wellness/інформаційного продукту. Інтероперабельність (стандарт FHIR) також відповідає духу 21st Century Cures Act, який стимулює обмін даними без блокування інформації.</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Ринок ЄС: GDPR, EHDS, та AI Act</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GDPR:</w:t>
      </w:r>
      <w:r w:rsidDel="00000000" w:rsidR="00000000" w:rsidRPr="00000000">
        <w:rPr>
          <w:rFonts w:ascii="Google Sans" w:cs="Google Sans" w:eastAsia="Google Sans" w:hAnsi="Google Sans"/>
          <w:color w:val="1f1f1f"/>
          <w:rtl w:val="0"/>
        </w:rPr>
        <w:t xml:space="preserve"> Стаття 9 Загального регламенту захисту даних визначає медичні дані як «особливу категорію», що вимагає виняткових заходів безпеки та обґрунтувань для обробки (наприклад, явної згоди або захисту життєво важливих інтересів)</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Більше того, надсилання таких даних у хмари за межі ЄС зіштовхується з жорсткими обмеженнями Глави V GDPR. Архітектура local-first повністю уникає транскордонних передач і проблем з хмарними процесорами (data processors), оскільки дані фізично не залишають телефон європейського користувача</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European Health Data Space (EHDS):</w:t>
      </w:r>
      <w:r w:rsidDel="00000000" w:rsidR="00000000" w:rsidRPr="00000000">
        <w:rPr>
          <w:rFonts w:ascii="Google Sans" w:cs="Google Sans" w:eastAsia="Google Sans" w:hAnsi="Google Sans"/>
          <w:color w:val="1f1f1f"/>
          <w:rtl w:val="0"/>
        </w:rPr>
        <w:t xml:space="preserve"> Цей історичний регламент ЄС був ухвалений у 2024 році та набув чинності у березні 2025 року</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Згідно з графіком, до березня 2029 року всі постачальники електронних медичних систем повинні забезпечити обмін даними (первинне використання — primary use) для пріоритетних категорій (резюме пацієнта, електронні рецепти), використовуючи стандарти, засновані на HL7 FHIR (інфраструктура MyHealth@EU)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Експорт у форматі FHIR робить LiveMedCard готовим до європейської медичної екосистеми з першого дня.</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EU AI Act:</w:t>
      </w:r>
      <w:r w:rsidDel="00000000" w:rsidR="00000000" w:rsidRPr="00000000">
        <w:rPr>
          <w:rFonts w:ascii="Google Sans" w:cs="Google Sans" w:eastAsia="Google Sans" w:hAnsi="Google Sans"/>
          <w:color w:val="1f1f1f"/>
          <w:rtl w:val="0"/>
        </w:rPr>
        <w:t xml:space="preserve"> Регламент щодо штучного інтелекту класифікує ШІ-системи, які приймають рішення в медицині, як високоризикові (High-Risk). Стаття 14 вимагає забезпечення «людського нагляду» (human oversight), щоб уникнути автономних медичних помилок, а Стаття 15 вимагає доказів точності, стійкості до похибок (robustness) та кібербезпеки протягом усього життєвого циклу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Перевага LiveMedCard:</w:t>
      </w:r>
      <w:r w:rsidDel="00000000" w:rsidR="00000000" w:rsidRPr="00000000">
        <w:rPr>
          <w:rFonts w:ascii="Google Sans" w:cs="Google Sans" w:eastAsia="Google Sans" w:hAnsi="Google Sans"/>
          <w:color w:val="1f1f1f"/>
          <w:rtl w:val="0"/>
        </w:rPr>
        <w:t xml:space="preserve"> Генеративні мовні моделі (LLM) схильні до галюцинацій (генерації правдоподібної, але хибної інформації), що є катастрофічним при розрахунку взаємодії медикаментів. Використання </w:t>
      </w:r>
      <w:r w:rsidDel="00000000" w:rsidR="00000000" w:rsidRPr="00000000">
        <w:rPr>
          <w:rFonts w:ascii="Google Sans" w:cs="Google Sans" w:eastAsia="Google Sans" w:hAnsi="Google Sans"/>
          <w:i w:val="1"/>
          <w:iCs w:val="1"/>
          <w:color w:val="1f1f1f"/>
          <w:rtl w:val="0"/>
        </w:rPr>
        <w:t xml:space="preserve">детермінованого шару безпеки</w:t>
      </w:r>
      <w:r w:rsidDel="00000000" w:rsidR="00000000" w:rsidRPr="00000000">
        <w:rPr>
          <w:rFonts w:ascii="Google Sans" w:cs="Google Sans" w:eastAsia="Google Sans" w:hAnsi="Google Sans"/>
          <w:color w:val="1f1f1f"/>
          <w:rtl w:val="0"/>
        </w:rPr>
        <w:t xml:space="preserve">, де ШІ лише витягує сутності (Named Entity Recognition) з тексту, а самі клінічні сигнали про перевищення доз генеруються жорстко закодованими алгоритмами на основі довідників, ідеально задовольняє вимоги Статті 15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Людський нагляд (Стаття 14) реалізується через те, що опікун верифікує витягнуті дані перед їх збереженням у таймлайн.</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Бізнес-моделі й ціноутворення (Бенчмарки)</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Аналіз конкурентів виявляє три основні канали дистрибуції та монетизації: B2C (пряма підписка), B2B2C (роботодавці або страховики оплачують доступ для працівників-опікунів) та B2B (продаж програмного забезпечення клінікам). У таблиці нижче наведено репрезентативні бенчмарки ринку:</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Конкурент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Бізнес-модель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Платник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Ціна (Бенчмарк)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Розподіл функцій (Free vs Premium)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Medisafe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B2C Freemium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Пацієнт / Опікун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$4.99/міс або $39.99/рік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w:t>
            </w:r>
            <w:r w:rsidDel="00000000" w:rsidR="00000000" w:rsidRPr="00000000">
              <w:rPr>
                <w:rFonts w:ascii="Google Sans" w:cs="Google Sans" w:eastAsia="Google Sans" w:hAnsi="Google Sans"/>
                <w:color w:val="1f1f1f"/>
                <w:shd w:fill="auto" w:val="clear"/>
                <w:rtl w:val="0"/>
              </w:rPr>
              <w:t xml:space="preserve"> до 2 ліків, базові нагадування.</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w:t>
            </w:r>
            <w:r w:rsidDel="00000000" w:rsidR="00000000" w:rsidRPr="00000000">
              <w:rPr>
                <w:rFonts w:ascii="Google Sans" w:cs="Google Sans" w:eastAsia="Google Sans" w:hAnsi="Google Sans"/>
                <w:color w:val="1f1f1f"/>
                <w:shd w:fill="auto" w:val="clear"/>
                <w:rtl w:val="0"/>
              </w:rPr>
              <w:t xml:space="preserve"> анлім ліки, чекер взаємодій, сімейний доступ (dependents), звіти</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Docus.ai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B2C Підписка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Пацієнт / Опікун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Lite: $3.99/міс;</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 $7.99/міс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w:t>
            </w:r>
            <w:r w:rsidDel="00000000" w:rsidR="00000000" w:rsidRPr="00000000">
              <w:rPr>
                <w:rFonts w:ascii="Google Sans" w:cs="Google Sans" w:eastAsia="Google Sans" w:hAnsi="Google Sans"/>
                <w:color w:val="1f1f1f"/>
                <w:shd w:fill="auto" w:val="clear"/>
                <w:rtl w:val="0"/>
              </w:rPr>
              <w:t xml:space="preserve"> базовий чат.</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w:t>
            </w:r>
            <w:r w:rsidDel="00000000" w:rsidR="00000000" w:rsidRPr="00000000">
              <w:rPr>
                <w:rFonts w:ascii="Google Sans" w:cs="Google Sans" w:eastAsia="Google Sans" w:hAnsi="Google Sans"/>
                <w:color w:val="1f1f1f"/>
                <w:shd w:fill="auto" w:val="clear"/>
                <w:rtl w:val="0"/>
              </w:rPr>
              <w:t xml:space="preserve"> AI-аналіз 5-15 документів/місяць, запити до AI-лікаря</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Wellthy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B2B2C / B2C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Роботодавець / Сім'я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Від $450/міс (B2C)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(B2B2C):</w:t>
            </w:r>
            <w:r w:rsidDel="00000000" w:rsidR="00000000" w:rsidRPr="00000000">
              <w:rPr>
                <w:rFonts w:ascii="Google Sans" w:cs="Google Sans" w:eastAsia="Google Sans" w:hAnsi="Google Sans"/>
                <w:color w:val="1f1f1f"/>
                <w:shd w:fill="auto" w:val="clear"/>
                <w:rtl w:val="0"/>
              </w:rPr>
              <w:t xml:space="preserve"> Повністю оплачується роботодавцем, copay $15 за резервний догляд</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Fasten Health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OSS / Cloud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Пацієнт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$6.49 – $25.99/міс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w:t>
            </w:r>
            <w:r w:rsidDel="00000000" w:rsidR="00000000" w:rsidRPr="00000000">
              <w:rPr>
                <w:rFonts w:ascii="Google Sans" w:cs="Google Sans" w:eastAsia="Google Sans" w:hAnsi="Google Sans"/>
                <w:color w:val="1f1f1f"/>
                <w:shd w:fill="auto" w:val="clear"/>
                <w:rtl w:val="0"/>
              </w:rPr>
              <w:t xml:space="preserve"> Self-hosted (власний сервер).</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w:t>
            </w:r>
            <w:r w:rsidDel="00000000" w:rsidR="00000000" w:rsidRPr="00000000">
              <w:rPr>
                <w:rFonts w:ascii="Google Sans" w:cs="Google Sans" w:eastAsia="Google Sans" w:hAnsi="Google Sans"/>
                <w:color w:val="1f1f1f"/>
                <w:shd w:fill="auto" w:val="clear"/>
                <w:rtl w:val="0"/>
              </w:rPr>
              <w:t xml:space="preserve"> VPS хмарний хостинг та бекапи</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(Medicare)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Страховик (MA plans)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PMPM (приховані B2B тарифи)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w:t>
            </w:r>
            <w:r w:rsidDel="00000000" w:rsidR="00000000" w:rsidRPr="00000000">
              <w:rPr>
                <w:rFonts w:ascii="Google Sans" w:cs="Google Sans" w:eastAsia="Google Sans" w:hAnsi="Google Sans"/>
                <w:color w:val="1f1f1f"/>
                <w:shd w:fill="auto" w:val="clear"/>
                <w:rtl w:val="0"/>
              </w:rPr>
              <w:t xml:space="preserve"> Для кінцевого споживача повністю безкоштовно. Монетизація через економію витрат клінік</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Cariloop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B2B2C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Роботодавець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Підписка компанії</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Монетизується як корпоративний бенефіт для утримання працівників (caregiver support)</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Стратегія монетизації для LiveMedCard:</w:t>
      </w:r>
      <w:r w:rsidDel="00000000" w:rsidR="00000000" w:rsidRPr="00000000">
        <w:rPr>
          <w:rFonts w:ascii="Google Sans" w:cs="Google Sans" w:eastAsia="Google Sans" w:hAnsi="Google Sans"/>
          <w:color w:val="1f1f1f"/>
          <w:rtl w:val="0"/>
        </w:rPr>
        <w:t xml:space="preserve"> Найбільш життєздатним шляхом для MVP є </w:t>
      </w:r>
      <w:r w:rsidDel="00000000" w:rsidR="00000000" w:rsidRPr="00000000">
        <w:rPr>
          <w:rFonts w:ascii="Google Sans" w:cs="Google Sans" w:eastAsia="Google Sans" w:hAnsi="Google Sans"/>
          <w:b w:val="1"/>
          <w:bCs w:val="1"/>
          <w:color w:val="1f1f1f"/>
          <w:rtl w:val="0"/>
        </w:rPr>
        <w:t xml:space="preserve">B2C Freemium</w:t>
      </w:r>
      <w:r w:rsidDel="00000000" w:rsidR="00000000" w:rsidRPr="00000000">
        <w:rPr>
          <w:rFonts w:ascii="Google Sans" w:cs="Google Sans" w:eastAsia="Google Sans" w:hAnsi="Google Sans"/>
          <w:color w:val="1f1f1f"/>
          <w:rtl w:val="0"/>
        </w:rPr>
        <w:t xml:space="preserve"> підписка, орієнтована безпосередньо на опікуна. У базовій (безкоштовній) версії користувач отримує можливість фотографувати документи та формувати локальний таймлайн. Платний рівень (Premium, орієнтовно $5-$8/міс) активує детермінований чекер взаємодії ліків, розширені аналітичні тренди показників та можливість експорту повної історії у форматі FHIR для передачі клініці.</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Дистрибуція через месенджери (Telegram/WhatsApp):</w:t>
      </w:r>
      <w:r w:rsidDel="00000000" w:rsidR="00000000" w:rsidRPr="00000000">
        <w:rPr>
          <w:rFonts w:ascii="Google Sans" w:cs="Google Sans" w:eastAsia="Google Sans" w:hAnsi="Google Sans"/>
          <w:color w:val="1f1f1f"/>
          <w:rtl w:val="0"/>
        </w:rPr>
        <w:t xml:space="preserve"> Хоча розробка чат-ботів у месенджерах є дешевою і швидкою, вона не сумісна з ключовим диференціатором продукту — архітектурою local-first. Месенджери зберігають дані на своїх серверах і вимагають хмарної обробки для запуску ШІ-моделей. Зважаючи на суворі вимоги FTC HBNR та GDPR щодо медичних даних, єдиним технічно та юридично надійним каналом є нативний мобільний застосунок (iOS/Android), що дозволяє завантажити та запускати квантовану (quantized) мовну модель безпосередньо на нейронному процесорі (NPU) пристрою.</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Фандинг і свіжі гравці (Сигнали «гарячої ніші»)</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Незважаючи на глобальне охолодження венчурного фінансування у цифровому здоров'ї порівняно з піком 2021 року, сектор технологій для опікунів (Caregiver tech) та інфраструктури медичних даних продовжує генерувати потужні угоди, сигналізуючи про наявність значного капіталу в ніші.</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Ключові венчурні раунди 2023–2026 років:</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Vesta Healthcare (2024):</w:t>
      </w:r>
      <w:r w:rsidDel="00000000" w:rsidR="00000000" w:rsidRPr="00000000">
        <w:rPr>
          <w:rFonts w:ascii="Google Sans" w:cs="Google Sans" w:eastAsia="Google Sans" w:hAnsi="Google Sans"/>
          <w:color w:val="1f1f1f"/>
          <w:rtl w:val="0"/>
        </w:rPr>
        <w:t xml:space="preserve"> Залучила $65M у раунді Series C. Стартап створює програми підтримки здоров'я популяції, інтегруючи дані від неформальних опікунів з професійними клінічними командами</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Це підтверджує тезу про визнання ринком ролі опікуна як ключового генератора клінічних даних.</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b.well Connected Health (Лютий 2024):</w:t>
      </w:r>
      <w:r w:rsidDel="00000000" w:rsidR="00000000" w:rsidRPr="00000000">
        <w:rPr>
          <w:rFonts w:ascii="Google Sans" w:cs="Google Sans" w:eastAsia="Google Sans" w:hAnsi="Google Sans"/>
          <w:color w:val="1f1f1f"/>
          <w:rtl w:val="0"/>
        </w:rPr>
        <w:t xml:space="preserve"> $40M (Series C). Агрегатор медичних записів, побудований на стандарті FHIR, який уніфікує дані для страхових планів та роботодавців, демонструючи шалений попит на FHIR-сумісну інфраструктуру</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Homethrive (Липень 2024):</w:t>
      </w:r>
      <w:r w:rsidDel="00000000" w:rsidR="00000000" w:rsidRPr="00000000">
        <w:rPr>
          <w:rFonts w:ascii="Google Sans" w:cs="Google Sans" w:eastAsia="Google Sans" w:hAnsi="Google Sans"/>
          <w:color w:val="1f1f1f"/>
          <w:rtl w:val="0"/>
        </w:rPr>
        <w:t xml:space="preserve"> Залучила $20M (Series B). Рішення для бенефітів з догляду за літніми (Family health benefits solutions), яке допомагає сім'ям навігувати складними медичними системами</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Cariloop (Квітень 2024):</w:t>
      </w:r>
      <w:r w:rsidDel="00000000" w:rsidR="00000000" w:rsidRPr="00000000">
        <w:rPr>
          <w:rFonts w:ascii="Google Sans" w:cs="Google Sans" w:eastAsia="Google Sans" w:hAnsi="Google Sans"/>
          <w:color w:val="1f1f1f"/>
          <w:rtl w:val="0"/>
        </w:rPr>
        <w:t xml:space="preserve"> Залучила $20M (Series C). Платформа підтримки опікунів як корпоративний бенефіт (загальне фінансування сягнуло $42,3M)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Сигнали Y Combinator (2024-2026):</w:t>
      </w:r>
      <w:r w:rsidDel="00000000" w:rsidR="00000000" w:rsidRPr="00000000">
        <w:rPr>
          <w:rFonts w:ascii="Google Sans" w:cs="Google Sans" w:eastAsia="Google Sans" w:hAnsi="Google Sans"/>
          <w:color w:val="1f1f1f"/>
          <w:rtl w:val="0"/>
        </w:rPr>
        <w:t xml:space="preserve"> Аналіз профілів стартапів з останніх когорт топового акселератора Y Combinator (W24, S24, F25, W26, S26) демонструє виразний зсув від загальної телемедицини до застосування ШІ-агентів для автоматизації рутини в охороні здоров'я та координації догляду.</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Cova (S26):</w:t>
      </w:r>
      <w:r w:rsidDel="00000000" w:rsidR="00000000" w:rsidRPr="00000000">
        <w:rPr>
          <w:rFonts w:ascii="Google Sans" w:cs="Google Sans" w:eastAsia="Google Sans" w:hAnsi="Google Sans"/>
          <w:color w:val="1f1f1f"/>
          <w:rtl w:val="0"/>
        </w:rPr>
        <w:t xml:space="preserve"> ШІ-орієнтована (AI-native) агенція домашнього догляду, яка допомагає неоплачуваним сімейним опікунам отримувати фінансові компенсації через державні програми</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Це прямий доказ зростаючої ваги сегмента неформальних опікунів.</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Kaigo Health (F25):</w:t>
      </w:r>
      <w:r w:rsidDel="00000000" w:rsidR="00000000" w:rsidRPr="00000000">
        <w:rPr>
          <w:rFonts w:ascii="Google Sans" w:cs="Google Sans" w:eastAsia="Google Sans" w:hAnsi="Google Sans"/>
          <w:color w:val="1f1f1f"/>
          <w:rtl w:val="0"/>
        </w:rPr>
        <w:t xml:space="preserve"> Використовує ШІ для управління амбулаторним доглядом та віддаленого моніторингу пацієнтів Medicare</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Taiga (P26) та ClaimGlide (W26):</w:t>
      </w:r>
      <w:r w:rsidDel="00000000" w:rsidR="00000000" w:rsidRPr="00000000">
        <w:rPr>
          <w:rFonts w:ascii="Google Sans" w:cs="Google Sans" w:eastAsia="Google Sans" w:hAnsi="Google Sans"/>
          <w:color w:val="1f1f1f"/>
          <w:rtl w:val="0"/>
        </w:rPr>
        <w:t xml:space="preserve"> Фокусуються на використанні ШІ-агентів для автоматизації роботи з медичним білінгом, кодами та взаємодією зі страховими компаніями, усуваючи необхідність ручного введення даних</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Сам Y Combinator опублікував RFS (Request for Startups), активно закликаючи створювати "AI-Native Discovery Engines", що підкреслює віру інвесторів у детерміновані, керовані процеси на базі ШІ</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Whitespace (Вільна ніша):</w:t>
      </w:r>
      <w:r w:rsidDel="00000000" w:rsidR="00000000" w:rsidRPr="00000000">
        <w:rPr>
          <w:rFonts w:ascii="Google Sans" w:cs="Google Sans" w:eastAsia="Google Sans" w:hAnsi="Google Sans"/>
          <w:color w:val="1f1f1f"/>
          <w:rtl w:val="0"/>
        </w:rPr>
        <w:t xml:space="preserve"> Уважний погляд на рух капіталу вказує на те, що інвестори щедро фінансують B2B-рішення (агрегатори для страхових) або B2B2C (підтримка опікунів через роботодавця). Проте на ринку виник унікальний «пробіл» у сегменті B2C-інструментів, де перетинаються чотири елементи: (a) 100% приватність через local-first обробку; (b) безпека розрахунків медикаментів без галюцинацій (детермінованість); (c) доросла дитина-опікун як основний користувач та платник; (d) структурування старих паперових виписок у сучасний цифровий стандарт FHIR. Жоден з існуючих стартапів, які залучили фінансування, не пропонує цієї комбінації. Apple Health має безпеку, але ігнорує паперові документи</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Docus.ai розпізнає папери, але покладається на хмарні ймовірнісні моделі</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LiveMedCard має потенціал стати монополістом у цій вузькій, але високомаржинальній ніші.</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Диференціація LiveMedCard (Формули позиціонування)</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чіткого донесення цінності продукту до споживачів та інвесторів пропонується використовувати наступні формули диференціації проти найсильніших категорій конкурентів:</w:t>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Проти Big Tech (Apple Health Records / CommonHealth):</w:t>
      </w:r>
    </w:p>
    <w:p w:rsidR="00000000" w:rsidDel="00000000" w:rsidP="00000000" w:rsidRDefault="00000000" w:rsidRPr="00000000" w14:paraId="0000011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 відміну від</w:t>
      </w:r>
      <w:r w:rsidDel="00000000" w:rsidR="00000000" w:rsidRPr="00000000">
        <w:rPr>
          <w:rFonts w:ascii="Google Sans" w:cs="Google Sans" w:eastAsia="Google Sans" w:hAnsi="Google Sans"/>
          <w:color w:val="1f1f1f"/>
          <w:rtl w:val="0"/>
        </w:rPr>
        <w:t xml:space="preserve"> гігантів інфраструктури, які вимагають наявності електронного порталу в клініці та цифрової API-інтеграції (яка часто відсутня для літніх пацієнтів поза межами топових клінік США),</w:t>
      </w:r>
    </w:p>
    <w:p w:rsidR="00000000" w:rsidDel="00000000" w:rsidP="00000000" w:rsidRDefault="00000000" w:rsidRPr="00000000" w14:paraId="00000111">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наша ключова відмінність</w:t>
      </w:r>
      <w:r w:rsidDel="00000000" w:rsidR="00000000" w:rsidRPr="00000000">
        <w:rPr>
          <w:rFonts w:ascii="Google Sans" w:cs="Google Sans" w:eastAsia="Google Sans" w:hAnsi="Google Sans"/>
          <w:color w:val="1f1f1f"/>
          <w:rtl w:val="0"/>
        </w:rPr>
        <w:t xml:space="preserve"> полягає в тому, що спеціалізований ШІ LiveMedCard здатен екстрагувати дані з фотографії будь-якої паперової довідки, результату аналізів чи рукописного рецепта, перетворюючи їх на сучасний стандартизований запис FHIR безпосередньо на телефоні користувача.</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Проти генеративних ШІ-інструментів (Docus.ai / ChatGPT):</w:t>
      </w:r>
    </w:p>
    <w:p w:rsidR="00000000" w:rsidDel="00000000" w:rsidP="00000000" w:rsidRDefault="00000000" w:rsidRPr="00000000" w14:paraId="00000113">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 відміну від</w:t>
      </w:r>
      <w:r w:rsidDel="00000000" w:rsidR="00000000" w:rsidRPr="00000000">
        <w:rPr>
          <w:rFonts w:ascii="Google Sans" w:cs="Google Sans" w:eastAsia="Google Sans" w:hAnsi="Google Sans"/>
          <w:color w:val="1f1f1f"/>
          <w:rtl w:val="0"/>
        </w:rPr>
        <w:t xml:space="preserve"> хмарних ШІ-асистентів, які змушують користувачів відправляти високочутливі медичні дані на сервери третіх сторін (ризикуючи порушенням HIPAA/GDPR та витоком інформації),</w:t>
      </w:r>
    </w:p>
    <w:p w:rsidR="00000000" w:rsidDel="00000000" w:rsidP="00000000" w:rsidRDefault="00000000" w:rsidRPr="00000000" w14:paraId="00000114">
      <w:pPr>
        <w:numPr>
          <w:ilvl w:val="1"/>
          <w:numId w:val="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наша ключова відмінність</w:t>
      </w:r>
      <w:r w:rsidDel="00000000" w:rsidR="00000000" w:rsidRPr="00000000">
        <w:rPr>
          <w:rFonts w:ascii="Google Sans" w:cs="Google Sans" w:eastAsia="Google Sans" w:hAnsi="Google Sans"/>
          <w:color w:val="1f1f1f"/>
          <w:rtl w:val="0"/>
        </w:rPr>
        <w:t xml:space="preserve"> — це архітектура local-first, де спеціально навчена (fine-tuned) мала мовна модель (SLM) розпізнає та структурує медичний текст локально, гарантуючи, що жоден байт приватної інформації не покидає пристрій.</w:t>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Проти трекерів медикаментів (Medisafe / Pillo):</w:t>
      </w:r>
    </w:p>
    <w:p w:rsidR="00000000" w:rsidDel="00000000" w:rsidP="00000000" w:rsidRDefault="00000000" w:rsidRPr="00000000" w14:paraId="00000116">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 відміну від</w:t>
      </w:r>
      <w:r w:rsidDel="00000000" w:rsidR="00000000" w:rsidRPr="00000000">
        <w:rPr>
          <w:rFonts w:ascii="Google Sans" w:cs="Google Sans" w:eastAsia="Google Sans" w:hAnsi="Google Sans"/>
          <w:color w:val="1f1f1f"/>
          <w:rtl w:val="0"/>
        </w:rPr>
        <w:t xml:space="preserve"> популярних систем нагадувань, які змушують опікунів витрачати години на ручне введення складних назв препаратів та перенесли чекери взаємодій за платний екран,</w:t>
      </w:r>
    </w:p>
    <w:p w:rsidR="00000000" w:rsidDel="00000000" w:rsidP="00000000" w:rsidRDefault="00000000" w:rsidRPr="00000000" w14:paraId="00000117">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наша ключова відмінність</w:t>
      </w:r>
      <w:r w:rsidDel="00000000" w:rsidR="00000000" w:rsidRPr="00000000">
        <w:rPr>
          <w:rFonts w:ascii="Google Sans" w:cs="Google Sans" w:eastAsia="Google Sans" w:hAnsi="Google Sans"/>
          <w:color w:val="1f1f1f"/>
          <w:rtl w:val="0"/>
        </w:rPr>
        <w:t xml:space="preserve"> — це автоматичне розпізнавання листків призначень та використання </w:t>
      </w:r>
      <w:r w:rsidDel="00000000" w:rsidR="00000000" w:rsidRPr="00000000">
        <w:rPr>
          <w:rFonts w:ascii="Google Sans" w:cs="Google Sans" w:eastAsia="Google Sans" w:hAnsi="Google Sans"/>
          <w:b w:val="1"/>
          <w:bCs w:val="1"/>
          <w:color w:val="1f1f1f"/>
          <w:rtl w:val="0"/>
        </w:rPr>
        <w:t xml:space="preserve">детермінованого шару безпеки</w:t>
      </w:r>
      <w:r w:rsidDel="00000000" w:rsidR="00000000" w:rsidRPr="00000000">
        <w:rPr>
          <w:rFonts w:ascii="Google Sans" w:cs="Google Sans" w:eastAsia="Google Sans" w:hAnsi="Google Sans"/>
          <w:color w:val="1f1f1f"/>
          <w:rtl w:val="0"/>
        </w:rPr>
        <w:t xml:space="preserve">, який миттєво генерує клінічно точні попередження про несумісність ліків на основі жорстких медичних довідників, повністю виключаючи ризик ШІ-галюцинацій.</w:t>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Проти сервісів координації (Ianacare / Cariloop):</w:t>
      </w:r>
    </w:p>
    <w:p w:rsidR="00000000" w:rsidDel="00000000" w:rsidP="00000000" w:rsidRDefault="00000000" w:rsidRPr="00000000" w14:paraId="0000011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 відміну від</w:t>
      </w:r>
      <w:r w:rsidDel="00000000" w:rsidR="00000000" w:rsidRPr="00000000">
        <w:rPr>
          <w:rFonts w:ascii="Google Sans" w:cs="Google Sans" w:eastAsia="Google Sans" w:hAnsi="Google Sans"/>
          <w:color w:val="1f1f1f"/>
          <w:rtl w:val="0"/>
        </w:rPr>
        <w:t xml:space="preserve"> платформ, що зосереджуються на логістичній та емоційній підтримці опікунів через соціальні кола та коучинг,</w:t>
      </w:r>
    </w:p>
    <w:p w:rsidR="00000000" w:rsidDel="00000000" w:rsidP="00000000" w:rsidRDefault="00000000" w:rsidRPr="00000000" w14:paraId="0000011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наша ключова відмінність</w:t>
      </w:r>
      <w:r w:rsidDel="00000000" w:rsidR="00000000" w:rsidRPr="00000000">
        <w:rPr>
          <w:rFonts w:ascii="Google Sans" w:cs="Google Sans" w:eastAsia="Google Sans" w:hAnsi="Google Sans"/>
          <w:color w:val="1f1f1f"/>
          <w:rtl w:val="0"/>
        </w:rPr>
        <w:t xml:space="preserve"> полягає у наданні високотехнологічного медичного інструменту, який створює клінічний лонгітюдний таймлайн здоров'я, трансформуючи опікуна з пасивного спостерігача на озброєного даними "агента здоров'я".</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Ризики та застереження (Інвесторський FAQ)</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При масштабуванні та пошуку венчурного фінансування стартап неминуче зіткнеться зі скептицизмом інвесторів щодо обраного підходу. Ось головні ризики та стратегії їх мінімізації:</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Ризик 1: Технічна життєздатність On-Device ШІ</w:t>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Застереження інвестора:</w:t>
      </w:r>
      <w:r w:rsidDel="00000000" w:rsidR="00000000" w:rsidRPr="00000000">
        <w:rPr>
          <w:rFonts w:ascii="Google Sans" w:cs="Google Sans" w:eastAsia="Google Sans" w:hAnsi="Google Sans"/>
          <w:color w:val="1f1f1f"/>
          <w:rtl w:val="0"/>
        </w:rPr>
        <w:t xml:space="preserve"> Великі мовні моделі (на кшталт GPT-4), які здатні якісно розпізнавати складний медичний контекст, вимагають сотень гігабайт оперативної пам'яті. Сучасні смартфони фізично не здатні запускати такі моделі локально без критичної втрати швидкості та розряду батареї.</w:t>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Як закрити ризик:</w:t>
      </w:r>
      <w:r w:rsidDel="00000000" w:rsidR="00000000" w:rsidRPr="00000000">
        <w:rPr>
          <w:rFonts w:ascii="Google Sans" w:cs="Google Sans" w:eastAsia="Google Sans" w:hAnsi="Google Sans"/>
          <w:color w:val="1f1f1f"/>
          <w:rtl w:val="0"/>
        </w:rPr>
        <w:t xml:space="preserve"> LiveMedCard не використовує генеративну LLM для ведення вільних бесід. Замість цього розгортаються глибоко квантовані (quantized) малі мовні моделі (Small Language Models), натреновані виключно на завдання вилучення сутностей (Named Entity Recognition - NER) з медичних текстів. Оскільки розрахунок взаємодії ліків покладається на легкі локальні бази даних (детермінований шар), обчислювальне навантаження мінімізується, що дозволяє запускати процес на нейронних процесорах (NPU) сучасних смартфонів iOS та Android.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Ризик 2: Вартість залучення клієнтів (CAC) у моделі Direct-to-Consumer</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Застереження інвестора:</w:t>
      </w:r>
      <w:r w:rsidDel="00000000" w:rsidR="00000000" w:rsidRPr="00000000">
        <w:rPr>
          <w:rFonts w:ascii="Google Sans" w:cs="Google Sans" w:eastAsia="Google Sans" w:hAnsi="Google Sans"/>
          <w:color w:val="1f1f1f"/>
          <w:rtl w:val="0"/>
        </w:rPr>
        <w:t xml:space="preserve"> Прямий продаж B2C мобільних застосунків є надзвичайно дорогим через інфляцію вартості реклами в Google/Meta. Залучення користувача може коштувати більше, ніж його Lifetime Value (LTV) від підписки у $5/міс.</w:t>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Як закрити ризик:</w:t>
      </w:r>
      <w:r w:rsidDel="00000000" w:rsidR="00000000" w:rsidRPr="00000000">
        <w:rPr>
          <w:rFonts w:ascii="Google Sans" w:cs="Google Sans" w:eastAsia="Google Sans" w:hAnsi="Google Sans"/>
          <w:color w:val="1f1f1f"/>
          <w:rtl w:val="0"/>
        </w:rPr>
        <w:t xml:space="preserve"> Первинне залучення спиратиметься на потужний емоційний маркетинг (почуття провини та тривоги за здоров'я батьків). Проте паралельно розроблятиметься стратегія B2B2C. Співпраця з роботодавцями для включення LiveMedCard до пакетів корпоративних бенефітів (подібно до моделі Cariloop</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та Wellthy</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або партнерство зі страховими планами Medicare Advantage дозволить різко знизити CAC та отримувати PMPM (per member per month) дохід за цілі когорти співробітників.</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Ризик 3: Межа FDA (Регулювання SaMD)</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Застереження інвестора:</w:t>
      </w:r>
      <w:r w:rsidDel="00000000" w:rsidR="00000000" w:rsidRPr="00000000">
        <w:rPr>
          <w:rFonts w:ascii="Google Sans" w:cs="Google Sans" w:eastAsia="Google Sans" w:hAnsi="Google Sans"/>
          <w:color w:val="1f1f1f"/>
          <w:rtl w:val="0"/>
        </w:rPr>
        <w:t xml:space="preserve"> Функція, яка попереджає користувача про небезпечну взаємодію ліків або критичні тренди аналізів, може бути класифікована Управлінням з продовольства і медикаментів США (FDA) або європейським MDR як програмне забезпечення, що є медичним виробом (SaMD). Це вимагатиме багаторічних клінічних випробувань та мільйонних витрат на сертифікацію.</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Як закрити ризик:</w:t>
      </w:r>
      <w:r w:rsidDel="00000000" w:rsidR="00000000" w:rsidRPr="00000000">
        <w:rPr>
          <w:rFonts w:ascii="Google Sans" w:cs="Google Sans" w:eastAsia="Google Sans" w:hAnsi="Google Sans"/>
          <w:color w:val="1f1f1f"/>
          <w:rtl w:val="0"/>
        </w:rPr>
        <w:t xml:space="preserve"> Продукт свідомо позиціонується як "wellness-інструмент" та "інформаційний довідник" (Clinical Decision Support), а не діагностична система. Інтерфейс міститиме жорсткі дисклеймери про те, що сервіс лише зіставляє розпізнаний текст з відкритими фармакологічними довідниками. Використання детермінованого шару (без участі ймовірнісного ШІ у формуванні медичної поради) дозволяє аргументовано уникати класифікації SaMD, підкреслюючи, що остаточне медичне рішення завжди залишається за лікарем, якого інформує опікун.</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Джерела</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Aging and Elderly Care Market Report 2026 - Research and Markets, </w:t>
      </w:r>
      <w:hyperlink r:id="rId6">
        <w:r w:rsidDel="00000000" w:rsidR="00000000" w:rsidRPr="00000000">
          <w:rPr>
            <w:rFonts w:ascii="Google Sans" w:cs="Google Sans" w:eastAsia="Google Sans" w:hAnsi="Google Sans"/>
            <w:color w:val="0000ee"/>
            <w:sz w:val="24"/>
            <w:szCs w:val="24"/>
            <w:u w:val="single"/>
            <w:rtl w:val="0"/>
          </w:rPr>
          <w:t xml:space="preserve">https://www.researchandmarkets.com/reports/6226106/ai-in-aging-elderly-care-market-report</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Reveals Crisis Point for America's 63 million Family Caregivers - AARP, </w:t>
      </w:r>
      <w:hyperlink r:id="rId7">
        <w:r w:rsidDel="00000000" w:rsidR="00000000" w:rsidRPr="00000000">
          <w:rPr>
            <w:rFonts w:ascii="Google Sans" w:cs="Google Sans" w:eastAsia="Google Sans" w:hAnsi="Google Sans"/>
            <w:color w:val="0000ee"/>
            <w:sz w:val="24"/>
            <w:szCs w:val="24"/>
            <w:u w:val="single"/>
            <w:rtl w:val="0"/>
          </w:rPr>
          <w:t xml:space="preserve">https://www.aarp.org/press/releases/2025-07-24-new-report-reveals-crisis-point-for-americas-63-million-family-caregivers.html</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Medisafe Is Not Free Anymore: What to Do Now (2026) - Pillo, </w:t>
      </w:r>
      <w:hyperlink r:id="rId8">
        <w:r w:rsidDel="00000000" w:rsidR="00000000" w:rsidRPr="00000000">
          <w:rPr>
            <w:rFonts w:ascii="Google Sans" w:cs="Google Sans" w:eastAsia="Google Sans" w:hAnsi="Google Sans"/>
            <w:color w:val="0000ee"/>
            <w:sz w:val="24"/>
            <w:szCs w:val="24"/>
            <w:u w:val="single"/>
            <w:rtl w:val="0"/>
          </w:rPr>
          <w:t xml:space="preserve">https://pillo.care/blog/medisafe-not-free-what-to-do</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Give the benefit of Wellthy, </w:t>
      </w:r>
      <w:hyperlink r:id="rId9">
        <w:r w:rsidDel="00000000" w:rsidR="00000000" w:rsidRPr="00000000">
          <w:rPr>
            <w:rFonts w:ascii="Google Sans" w:cs="Google Sans" w:eastAsia="Google Sans" w:hAnsi="Google Sans"/>
            <w:color w:val="0000ee"/>
            <w:sz w:val="24"/>
            <w:szCs w:val="24"/>
            <w:u w:val="single"/>
            <w:rtl w:val="0"/>
          </w:rPr>
          <w:t xml:space="preserve">https://www.wellthy.com/employers/purchase-plan/</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FTC Health Breach Notification Rule | AHIMA, </w:t>
      </w:r>
      <w:hyperlink r:id="rId10">
        <w:r w:rsidDel="00000000" w:rsidR="00000000" w:rsidRPr="00000000">
          <w:rPr>
            <w:rFonts w:ascii="Google Sans" w:cs="Google Sans" w:eastAsia="Google Sans" w:hAnsi="Google Sans"/>
            <w:color w:val="0000ee"/>
            <w:sz w:val="24"/>
            <w:szCs w:val="24"/>
            <w:u w:val="single"/>
            <w:rtl w:val="0"/>
          </w:rPr>
          <w:t xml:space="preserve">https://www.ahima.org/media/oismrpaz/faq-ftc-health-breach-notification-final-rule-final.pdf</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Amends Health Breach Notification Rule - McDermott Will &amp; Schulte, </w:t>
      </w:r>
      <w:hyperlink r:id="rId11">
        <w:r w:rsidDel="00000000" w:rsidR="00000000" w:rsidRPr="00000000">
          <w:rPr>
            <w:rFonts w:ascii="Google Sans" w:cs="Google Sans" w:eastAsia="Google Sans" w:hAnsi="Google Sans"/>
            <w:color w:val="0000ee"/>
            <w:sz w:val="24"/>
            <w:szCs w:val="24"/>
            <w:u w:val="single"/>
            <w:rtl w:val="0"/>
          </w:rPr>
          <w:t xml:space="preserve">https://www.mcdermottlaw.com/insights/ftc-amends-health-breach-notification-rule-to-regulate-health-apps-and-expand-breach-notification-requirements/</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9 GDPR - GDPRhub, </w:t>
      </w:r>
      <w:hyperlink r:id="rId12">
        <w:r w:rsidDel="00000000" w:rsidR="00000000" w:rsidRPr="00000000">
          <w:rPr>
            <w:rFonts w:ascii="Google Sans" w:cs="Google Sans" w:eastAsia="Google Sans" w:hAnsi="Google Sans"/>
            <w:color w:val="0000ee"/>
            <w:sz w:val="24"/>
            <w:szCs w:val="24"/>
            <w:u w:val="single"/>
            <w:rtl w:val="0"/>
          </w:rPr>
          <w:t xml:space="preserve">https://gdprhub.eu/Article_9_GDPR</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Data Privacy in 2026: Why Anonymization Comes First - Questa AI, </w:t>
      </w:r>
      <w:hyperlink r:id="rId13">
        <w:r w:rsidDel="00000000" w:rsidR="00000000" w:rsidRPr="00000000">
          <w:rPr>
            <w:rFonts w:ascii="Google Sans" w:cs="Google Sans" w:eastAsia="Google Sans" w:hAnsi="Google Sans"/>
            <w:color w:val="0000ee"/>
            <w:sz w:val="24"/>
            <w:szCs w:val="24"/>
            <w:u w:val="single"/>
            <w:rtl w:val="0"/>
          </w:rPr>
          <w:t xml:space="preserve">https://www.questa-ai.com/privacy-cafe/protecting-ai-systems-why-data-privacy-comes-first</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and Healthcare: What AI in Medicine Must Comply With | Regula, </w:t>
      </w:r>
      <w:hyperlink r:id="rId14">
        <w:r w:rsidDel="00000000" w:rsidR="00000000" w:rsidRPr="00000000">
          <w:rPr>
            <w:rFonts w:ascii="Google Sans" w:cs="Google Sans" w:eastAsia="Google Sans" w:hAnsi="Google Sans"/>
            <w:color w:val="0000ee"/>
            <w:sz w:val="24"/>
            <w:szCs w:val="24"/>
            <w:u w:val="single"/>
            <w:rtl w:val="0"/>
          </w:rPr>
          <w:t xml:space="preserve">https://getregula.com/guides/eu-ai-act-healthcare.html</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 AI Act Simplified: What Are Your Obligations as a Company Using High-Risk AI?, </w:t>
      </w:r>
      <w:hyperlink r:id="rId15">
        <w:r w:rsidDel="00000000" w:rsidR="00000000" w:rsidRPr="00000000">
          <w:rPr>
            <w:rFonts w:ascii="Google Sans" w:cs="Google Sans" w:eastAsia="Google Sans" w:hAnsi="Google Sans"/>
            <w:color w:val="0000ee"/>
            <w:sz w:val="24"/>
            <w:szCs w:val="24"/>
            <w:u w:val="single"/>
            <w:rtl w:val="0"/>
          </w:rPr>
          <w:t xml:space="preserve">https://www.calvin-risk.com/blog/the-eu-ai-act-simplified-what-are-your-obligations-as-a-company-using-high-risk-ai</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European Health Data Space Regulation (EHDS) - Uroweb, </w:t>
      </w:r>
      <w:hyperlink r:id="rId16">
        <w:r w:rsidDel="00000000" w:rsidR="00000000" w:rsidRPr="00000000">
          <w:rPr>
            <w:rFonts w:ascii="Google Sans" w:cs="Google Sans" w:eastAsia="Google Sans" w:hAnsi="Google Sans"/>
            <w:color w:val="0000ee"/>
            <w:sz w:val="24"/>
            <w:szCs w:val="24"/>
            <w:u w:val="single"/>
            <w:rtl w:val="0"/>
          </w:rPr>
          <w:t xml:space="preserve">https://uroweb.org/the-european-health-data-space-regulation-ehds</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Health Data Space Regulation (EHDS) - Public Health, </w:t>
      </w:r>
      <w:hyperlink r:id="rId17">
        <w:r w:rsidDel="00000000" w:rsidR="00000000" w:rsidRPr="00000000">
          <w:rPr>
            <w:rFonts w:ascii="Google Sans" w:cs="Google Sans" w:eastAsia="Google Sans" w:hAnsi="Google Sans"/>
            <w:color w:val="0000ee"/>
            <w:sz w:val="24"/>
            <w:szCs w:val="24"/>
            <w:u w:val="single"/>
            <w:rtl w:val="0"/>
          </w:rPr>
          <w:t xml:space="preserve">https://health.ec.europa.eu/ehealth-digital-health-and-care/european-health-data-space-regulation-ehds_en</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app data Share with Provider FAQ - Apple Support, </w:t>
      </w:r>
      <w:hyperlink r:id="rId18">
        <w:r w:rsidDel="00000000" w:rsidR="00000000" w:rsidRPr="00000000">
          <w:rPr>
            <w:rFonts w:ascii="Google Sans" w:cs="Google Sans" w:eastAsia="Google Sans" w:hAnsi="Google Sans"/>
            <w:color w:val="0000ee"/>
            <w:sz w:val="24"/>
            <w:szCs w:val="24"/>
            <w:u w:val="single"/>
            <w:rtl w:val="0"/>
          </w:rPr>
          <w:t xml:space="preserve">https://support.apple.com/fr-tn/guide/healthregister/apd531bc6215/web</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Health, FHIR R4 and the Future of Medical Records - Healthcare.Digital, </w:t>
      </w:r>
      <w:hyperlink r:id="rId19">
        <w:r w:rsidDel="00000000" w:rsidR="00000000" w:rsidRPr="00000000">
          <w:rPr>
            <w:rFonts w:ascii="Google Sans" w:cs="Google Sans" w:eastAsia="Google Sans" w:hAnsi="Google Sans"/>
            <w:color w:val="0000ee"/>
            <w:sz w:val="24"/>
            <w:szCs w:val="24"/>
            <w:u w:val="single"/>
            <w:rtl w:val="0"/>
          </w:rPr>
          <w:t xml:space="preserve">https://www.healthcare.digital/single-post/apple-health-fhir-r4-and-the-future-of-medical-records</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CommonHealth, </w:t>
      </w:r>
      <w:hyperlink r:id="rId20">
        <w:r w:rsidDel="00000000" w:rsidR="00000000" w:rsidRPr="00000000">
          <w:rPr>
            <w:rFonts w:ascii="Google Sans" w:cs="Google Sans" w:eastAsia="Google Sans" w:hAnsi="Google Sans"/>
            <w:color w:val="0000ee"/>
            <w:sz w:val="24"/>
            <w:szCs w:val="24"/>
            <w:u w:val="single"/>
            <w:rtl w:val="0"/>
          </w:rPr>
          <w:t xml:space="preserve">https://www.commonhealth.org/faqs</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Fasten Connect - A Unified Medical Record API, </w:t>
      </w:r>
      <w:hyperlink r:id="rId21">
        <w:r w:rsidDel="00000000" w:rsidR="00000000" w:rsidRPr="00000000">
          <w:rPr>
            <w:rFonts w:ascii="Google Sans" w:cs="Google Sans" w:eastAsia="Google Sans" w:hAnsi="Google Sans"/>
            <w:color w:val="0000ee"/>
            <w:sz w:val="24"/>
            <w:szCs w:val="24"/>
            <w:u w:val="single"/>
            <w:rtl w:val="0"/>
          </w:rPr>
          <w:t xml:space="preserve">https://www.fastenhealth.com/</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Fasten: A Free Self-hosted Personal Health Records App for Families and Individuals, </w:t>
      </w:r>
      <w:hyperlink r:id="rId22">
        <w:r w:rsidDel="00000000" w:rsidR="00000000" w:rsidRPr="00000000">
          <w:rPr>
            <w:rFonts w:ascii="Google Sans" w:cs="Google Sans" w:eastAsia="Google Sans" w:hAnsi="Google Sans"/>
            <w:color w:val="0000ee"/>
            <w:sz w:val="24"/>
            <w:szCs w:val="24"/>
            <w:u w:val="single"/>
            <w:rtl w:val="0"/>
          </w:rPr>
          <w:t xml:space="preserve">https://medevel.com/fasten/</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Fasten Health VPS Hosting | One-Click Docker Setup, </w:t>
      </w:r>
      <w:hyperlink r:id="rId23">
        <w:r w:rsidDel="00000000" w:rsidR="00000000" w:rsidRPr="00000000">
          <w:rPr>
            <w:rFonts w:ascii="Google Sans" w:cs="Google Sans" w:eastAsia="Google Sans" w:hAnsi="Google Sans"/>
            <w:color w:val="0000ee"/>
            <w:sz w:val="24"/>
            <w:szCs w:val="24"/>
            <w:u w:val="single"/>
            <w:rtl w:val="0"/>
          </w:rPr>
          <w:t xml:space="preserve">https://www.hostinger.com/applications/fasten-health</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Funding, Team &amp; Investors - Startup Intros, </w:t>
      </w:r>
      <w:hyperlink r:id="rId24">
        <w:r w:rsidDel="00000000" w:rsidR="00000000" w:rsidRPr="00000000">
          <w:rPr>
            <w:rFonts w:ascii="Google Sans" w:cs="Google Sans" w:eastAsia="Google Sans" w:hAnsi="Google Sans"/>
            <w:color w:val="0000ee"/>
            <w:sz w:val="24"/>
            <w:szCs w:val="24"/>
            <w:u w:val="single"/>
            <w:rtl w:val="0"/>
          </w:rPr>
          <w:t xml:space="preserve">https://startupintros.com/orgs/b-well-connected-health</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 Personalized Member Engagement for Health Plans, </w:t>
      </w:r>
      <w:hyperlink r:id="rId25">
        <w:r w:rsidDel="00000000" w:rsidR="00000000" w:rsidRPr="00000000">
          <w:rPr>
            <w:rFonts w:ascii="Google Sans" w:cs="Google Sans" w:eastAsia="Google Sans" w:hAnsi="Google Sans"/>
            <w:color w:val="0000ee"/>
            <w:sz w:val="24"/>
            <w:szCs w:val="24"/>
            <w:u w:val="single"/>
            <w:rtl w:val="0"/>
          </w:rPr>
          <w:t xml:space="preserve">https://www.icanbwell.com/health-plan-solutions/</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b.well Connected Health | Next-Generation Digital Health Platform, </w:t>
      </w:r>
      <w:hyperlink r:id="rId26">
        <w:r w:rsidDel="00000000" w:rsidR="00000000" w:rsidRPr="00000000">
          <w:rPr>
            <w:rFonts w:ascii="Google Sans" w:cs="Google Sans" w:eastAsia="Google Sans" w:hAnsi="Google Sans"/>
            <w:color w:val="0000ee"/>
            <w:sz w:val="24"/>
            <w:szCs w:val="24"/>
            <w:u w:val="single"/>
            <w:rtl w:val="0"/>
          </w:rPr>
          <w:t xml:space="preserve">https://www.icanbwell.com/</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Walmart acquires some assets of CareZone for prescription management, </w:t>
      </w:r>
      <w:hyperlink r:id="rId27">
        <w:r w:rsidDel="00000000" w:rsidR="00000000" w:rsidRPr="00000000">
          <w:rPr>
            <w:rFonts w:ascii="Google Sans" w:cs="Google Sans" w:eastAsia="Google Sans" w:hAnsi="Google Sans"/>
            <w:color w:val="0000ee"/>
            <w:sz w:val="24"/>
            <w:szCs w:val="24"/>
            <w:u w:val="single"/>
            <w:rtl w:val="0"/>
          </w:rPr>
          <w:t xml:space="preserve">https://talkbusiness.net/2020/06/walmart-acquires-some-assets-of-carezone-for-prescription-management/</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Health extends Series B to $120 million to accelerate rapid growth, </w:t>
      </w:r>
      <w:hyperlink r:id="rId28">
        <w:r w:rsidDel="00000000" w:rsidR="00000000" w:rsidRPr="00000000">
          <w:rPr>
            <w:rFonts w:ascii="Google Sans" w:cs="Google Sans" w:eastAsia="Google Sans" w:hAnsi="Google Sans"/>
            <w:color w:val="0000ee"/>
            <w:sz w:val="24"/>
            <w:szCs w:val="24"/>
            <w:u w:val="single"/>
            <w:rtl w:val="0"/>
          </w:rPr>
          <w:t xml:space="preserve">https://about.ada.com/press/220210-ada-health-extends-series-b-to-120-million/</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 Health hits $120M in series B top-up for symptom assessment AI app | Fierce Biotech, </w:t>
      </w:r>
      <w:hyperlink r:id="rId29">
        <w:r w:rsidDel="00000000" w:rsidR="00000000" w:rsidRPr="00000000">
          <w:rPr>
            <w:rFonts w:ascii="Google Sans" w:cs="Google Sans" w:eastAsia="Google Sans" w:hAnsi="Google Sans"/>
            <w:color w:val="0000ee"/>
            <w:sz w:val="24"/>
            <w:szCs w:val="24"/>
            <w:u w:val="single"/>
            <w:rtl w:val="0"/>
          </w:rPr>
          <w:t xml:space="preserve">https://www.fiercebiotech.com/medtech/ada-health-hits-120m-series-b-top-up-for-symptom-assessment-ai-app</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Docus AI Health Assistant: Your 24/7 Virtual Medical Advisor, </w:t>
      </w:r>
      <w:hyperlink r:id="rId30">
        <w:r w:rsidDel="00000000" w:rsidR="00000000" w:rsidRPr="00000000">
          <w:rPr>
            <w:rFonts w:ascii="Google Sans" w:cs="Google Sans" w:eastAsia="Google Sans" w:hAnsi="Google Sans"/>
            <w:color w:val="0000ee"/>
            <w:sz w:val="24"/>
            <w:szCs w:val="24"/>
            <w:u w:val="single"/>
            <w:rtl w:val="0"/>
          </w:rPr>
          <w:t xml:space="preserve">https://docus.ai/ai-health-assistant</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Plans – Docus AI-powered Health Platform, </w:t>
      </w:r>
      <w:hyperlink r:id="rId31">
        <w:r w:rsidDel="00000000" w:rsidR="00000000" w:rsidRPr="00000000">
          <w:rPr>
            <w:rFonts w:ascii="Google Sans" w:cs="Google Sans" w:eastAsia="Google Sans" w:hAnsi="Google Sans"/>
            <w:color w:val="0000ee"/>
            <w:sz w:val="24"/>
            <w:szCs w:val="24"/>
            <w:u w:val="single"/>
            <w:rtl w:val="0"/>
          </w:rPr>
          <w:t xml:space="preserve">https://docus.ai/pricing</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Healthcare with AI-Assisted Decision-Making - Docus.ai, </w:t>
      </w:r>
      <w:hyperlink r:id="rId32">
        <w:r w:rsidDel="00000000" w:rsidR="00000000" w:rsidRPr="00000000">
          <w:rPr>
            <w:rFonts w:ascii="Google Sans" w:cs="Google Sans" w:eastAsia="Google Sans" w:hAnsi="Google Sans"/>
            <w:color w:val="0000ee"/>
            <w:sz w:val="24"/>
            <w:szCs w:val="24"/>
            <w:u w:val="single"/>
            <w:rtl w:val="0"/>
          </w:rPr>
          <w:t xml:space="preserve">https://docus.ai/blog/ai-assisted-decisions-in-healthcare</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MyChart - App Store - Apple, </w:t>
      </w:r>
      <w:hyperlink r:id="rId33">
        <w:r w:rsidDel="00000000" w:rsidR="00000000" w:rsidRPr="00000000">
          <w:rPr>
            <w:rFonts w:ascii="Google Sans" w:cs="Google Sans" w:eastAsia="Google Sans" w:hAnsi="Google Sans"/>
            <w:color w:val="0000ee"/>
            <w:sz w:val="24"/>
            <w:szCs w:val="24"/>
            <w:u w:val="single"/>
            <w:rtl w:val="0"/>
          </w:rPr>
          <w:t xml:space="preserve">https://apps.apple.com/us/app/mychart/id382952264</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Epic MyChart - Software Overview - IntuitionLabs, </w:t>
      </w:r>
      <w:hyperlink r:id="rId34">
        <w:r w:rsidDel="00000000" w:rsidR="00000000" w:rsidRPr="00000000">
          <w:rPr>
            <w:rFonts w:ascii="Google Sans" w:cs="Google Sans" w:eastAsia="Google Sans" w:hAnsi="Google Sans"/>
            <w:color w:val="0000ee"/>
            <w:sz w:val="24"/>
            <w:szCs w:val="24"/>
            <w:u w:val="single"/>
            <w:rtl w:val="0"/>
          </w:rPr>
          <w:t xml:space="preserve">https://intuitionlabs.ai/software/pdfs/epic-mychart.pdf</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Pillo vs Medisafe 2026: Free vs $4.99/mo Compared, </w:t>
      </w:r>
      <w:hyperlink r:id="rId35">
        <w:r w:rsidDel="00000000" w:rsidR="00000000" w:rsidRPr="00000000">
          <w:rPr>
            <w:rFonts w:ascii="Google Sans" w:cs="Google Sans" w:eastAsia="Google Sans" w:hAnsi="Google Sans"/>
            <w:color w:val="0000ee"/>
            <w:sz w:val="24"/>
            <w:szCs w:val="24"/>
            <w:u w:val="single"/>
            <w:rtl w:val="0"/>
          </w:rPr>
          <w:t xml:space="preserve">https://pillo.care/blog/pillo-vs-medisafe-comparison</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Papa Company? - Business Model Canvas Templates, </w:t>
      </w:r>
      <w:hyperlink r:id="rId36">
        <w:r w:rsidDel="00000000" w:rsidR="00000000" w:rsidRPr="00000000">
          <w:rPr>
            <w:rFonts w:ascii="Google Sans" w:cs="Google Sans" w:eastAsia="Google Sans" w:hAnsi="Google Sans"/>
            <w:color w:val="0000ee"/>
            <w:sz w:val="24"/>
            <w:szCs w:val="24"/>
            <w:u w:val="single"/>
            <w:rtl w:val="0"/>
          </w:rPr>
          <w:t xml:space="preserve">https://businessmodelcanvastemplate.com/blogs/competitors/papa-competitive-landscape</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Papa to more closely align with insurers, promising cost reductions and best-in-class safety, </w:t>
      </w:r>
      <w:hyperlink r:id="rId37">
        <w:r w:rsidDel="00000000" w:rsidR="00000000" w:rsidRPr="00000000">
          <w:rPr>
            <w:rFonts w:ascii="Google Sans" w:cs="Google Sans" w:eastAsia="Google Sans" w:hAnsi="Google Sans"/>
            <w:color w:val="0000ee"/>
            <w:sz w:val="24"/>
            <w:szCs w:val="24"/>
            <w:u w:val="single"/>
            <w:rtl w:val="0"/>
          </w:rPr>
          <w:t xml:space="preserve">https://www.fiercehealthcare.com/payers/papa-more-closely-align-insurers-promising-cost-reductions</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Cariloop 2026 Company Profile: Valuation, Funding &amp; Investors | PitchBook, </w:t>
      </w:r>
      <w:hyperlink r:id="rId38">
        <w:r w:rsidDel="00000000" w:rsidR="00000000" w:rsidRPr="00000000">
          <w:rPr>
            <w:rFonts w:ascii="Google Sans" w:cs="Google Sans" w:eastAsia="Google Sans" w:hAnsi="Google Sans"/>
            <w:color w:val="0000ee"/>
            <w:sz w:val="24"/>
            <w:szCs w:val="24"/>
            <w:u w:val="single"/>
            <w:rtl w:val="0"/>
          </w:rPr>
          <w:t xml:space="preserve">https://pitchbook.com/profiles/company/59075-92</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HomeThrive - 2026 Company Profile, Team, Funding &amp; Competitors - Tracxn, </w:t>
      </w:r>
      <w:hyperlink r:id="rId39">
        <w:r w:rsidDel="00000000" w:rsidR="00000000" w:rsidRPr="00000000">
          <w:rPr>
            <w:rFonts w:ascii="Google Sans" w:cs="Google Sans" w:eastAsia="Google Sans" w:hAnsi="Google Sans"/>
            <w:color w:val="0000ee"/>
            <w:sz w:val="24"/>
            <w:szCs w:val="24"/>
            <w:u w:val="single"/>
            <w:rtl w:val="0"/>
          </w:rPr>
          <w:t xml:space="preserve">https://tracxn.com/d/companies/homethrive/__XK_4BdnQ2WbekIuZJOx5341KvENHDKw80Et97GekkO4</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Ianacare Gained $12.1M to Enhance Its Tech-Enabled Caregiving Platform, Hire | Built In Boston, </w:t>
      </w:r>
      <w:hyperlink r:id="rId40">
        <w:r w:rsidDel="00000000" w:rsidR="00000000" w:rsidRPr="00000000">
          <w:rPr>
            <w:rFonts w:ascii="Google Sans" w:cs="Google Sans" w:eastAsia="Google Sans" w:hAnsi="Google Sans"/>
            <w:color w:val="0000ee"/>
            <w:sz w:val="24"/>
            <w:szCs w:val="24"/>
            <w:u w:val="single"/>
            <w:rtl w:val="0"/>
          </w:rPr>
          <w:t xml:space="preserve">https://www.builtinboston.com/articles/ianacare-gained-12m-healthcare-boston-hiring</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ianacare Raises $12.1M to Fundamentally Change the Family Caregiver Experience, </w:t>
      </w:r>
      <w:hyperlink r:id="rId41">
        <w:r w:rsidDel="00000000" w:rsidR="00000000" w:rsidRPr="00000000">
          <w:rPr>
            <w:rFonts w:ascii="Google Sans" w:cs="Google Sans" w:eastAsia="Google Sans" w:hAnsi="Google Sans"/>
            <w:color w:val="0000ee"/>
            <w:sz w:val="24"/>
            <w:szCs w:val="24"/>
            <w:u w:val="single"/>
            <w:rtl w:val="0"/>
          </w:rPr>
          <w:t xml:space="preserve">https://www.businesswire.com/news/home/20220104005098/en/ianacare-Raises-%2412.1M-to-Fundamentally-Change-the-Family-Caregiver-Experience</w:t>
        </w:r>
      </w:hyperlink>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Using ChatGPT for Medical Appeals Puts Your Practice at Risk | EasyPA Blog, </w:t>
      </w:r>
      <w:hyperlink r:id="rId42">
        <w:r w:rsidDel="00000000" w:rsidR="00000000" w:rsidRPr="00000000">
          <w:rPr>
            <w:rFonts w:ascii="Google Sans" w:cs="Google Sans" w:eastAsia="Google Sans" w:hAnsi="Google Sans"/>
            <w:color w:val="0000ee"/>
            <w:sz w:val="24"/>
            <w:szCs w:val="24"/>
            <w:u w:val="single"/>
            <w:rtl w:val="0"/>
          </w:rPr>
          <w:t xml:space="preserve">https://easypa.ai/blog/dangers-of-chatgpt-for-medical-appeals</w:t>
        </w:r>
      </w:hyperlink>
      <w:r w:rsidDel="00000000" w:rsidR="00000000" w:rsidRPr="00000000">
        <w:rPr>
          <w:rtl w:val="0"/>
        </w:rPr>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ChatGPT HIPAA Compliant? No — Without BAA + ZDR (2026) - Patient Protect, </w:t>
      </w:r>
      <w:hyperlink r:id="rId43">
        <w:r w:rsidDel="00000000" w:rsidR="00000000" w:rsidRPr="00000000">
          <w:rPr>
            <w:rFonts w:ascii="Google Sans" w:cs="Google Sans" w:eastAsia="Google Sans" w:hAnsi="Google Sans"/>
            <w:color w:val="0000ee"/>
            <w:sz w:val="24"/>
            <w:szCs w:val="24"/>
            <w:u w:val="single"/>
            <w:rtl w:val="0"/>
          </w:rPr>
          <w:t xml:space="preserve">https://patient-protect.com/post/is-chatgpt-hipaa-compliant-ai-patient-data-risk</w:t>
        </w:r>
      </w:hyperlink>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Giving ChatGPT Health Your Medical Records a Good Idea? - TIME, </w:t>
      </w:r>
      <w:hyperlink r:id="rId44">
        <w:r w:rsidDel="00000000" w:rsidR="00000000" w:rsidRPr="00000000">
          <w:rPr>
            <w:rFonts w:ascii="Google Sans" w:cs="Google Sans" w:eastAsia="Google Sans" w:hAnsi="Google Sans"/>
            <w:color w:val="0000ee"/>
            <w:sz w:val="24"/>
            <w:szCs w:val="24"/>
            <w:u w:val="single"/>
            <w:rtl w:val="0"/>
          </w:rPr>
          <w:t xml:space="preserve">https://time.com/7344997/chatgpt-health-medical-records-privacy-open-ai/</w:t>
        </w:r>
      </w:hyperlink>
      <w:r w:rsidDel="00000000" w:rsidR="00000000" w:rsidRPr="00000000">
        <w:rPr>
          <w:rtl w:val="0"/>
        </w:rPr>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than half of Americans in their 40s are 'sandwiched' between an aging parent and their own children - Pew Research Center, </w:t>
      </w:r>
      <w:hyperlink r:id="rId45">
        <w:r w:rsidDel="00000000" w:rsidR="00000000" w:rsidRPr="00000000">
          <w:rPr>
            <w:rFonts w:ascii="Google Sans" w:cs="Google Sans" w:eastAsia="Google Sans" w:hAnsi="Google Sans"/>
            <w:color w:val="0000ee"/>
            <w:sz w:val="24"/>
            <w:szCs w:val="24"/>
            <w:u w:val="single"/>
            <w:rtl w:val="0"/>
          </w:rPr>
          <w:t xml:space="preserve">https://www.pewresearch.org/short-reads/2022/04/08/more-than-half-of-americans-in-their-40s-are-sandwiched-between-an-aging-parent-and-their-own-children/</w:t>
        </w:r>
      </w:hyperlink>
      <w:r w:rsidDel="00000000" w:rsidR="00000000" w:rsidRPr="00000000">
        <w:rPr>
          <w:rtl w:val="0"/>
        </w:rPr>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Family Caregivers Account for $1 Trillion in Essential Care - AARP, </w:t>
      </w:r>
      <w:hyperlink r:id="rId46">
        <w:r w:rsidDel="00000000" w:rsidR="00000000" w:rsidRPr="00000000">
          <w:rPr>
            <w:rFonts w:ascii="Google Sans" w:cs="Google Sans" w:eastAsia="Google Sans" w:hAnsi="Google Sans"/>
            <w:color w:val="0000ee"/>
            <w:sz w:val="24"/>
            <w:szCs w:val="24"/>
            <w:u w:val="single"/>
            <w:rtl w:val="0"/>
          </w:rPr>
          <w:t xml:space="preserve">https://www.aarp.org/caregiving/financial-legal/valuing-the-invaluable-report-2026/</w:t>
        </w:r>
      </w:hyperlink>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Eurocarers' Position Paper The gender dimension, </w:t>
      </w:r>
      <w:hyperlink r:id="rId47">
        <w:r w:rsidDel="00000000" w:rsidR="00000000" w:rsidRPr="00000000">
          <w:rPr>
            <w:rFonts w:ascii="Google Sans" w:cs="Google Sans" w:eastAsia="Google Sans" w:hAnsi="Google Sans"/>
            <w:color w:val="0000ee"/>
            <w:sz w:val="24"/>
            <w:szCs w:val="24"/>
            <w:u w:val="single"/>
            <w:rtl w:val="0"/>
          </w:rPr>
          <w:t xml:space="preserve">https://eurocarers.org/wp-content/uploads/2024/09/Eurocarers-Gender-dimension-of-infomal-care.pdf</w:t>
        </w:r>
      </w:hyperlink>
      <w:r w:rsidDel="00000000" w:rsidR="00000000" w:rsidRPr="00000000">
        <w:rPr>
          <w:rtl w:val="0"/>
        </w:rPr>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carers - Eurocarers, </w:t>
      </w:r>
      <w:hyperlink r:id="rId48">
        <w:r w:rsidDel="00000000" w:rsidR="00000000" w:rsidRPr="00000000">
          <w:rPr>
            <w:rFonts w:ascii="Google Sans" w:cs="Google Sans" w:eastAsia="Google Sans" w:hAnsi="Google Sans"/>
            <w:color w:val="0000ee"/>
            <w:sz w:val="24"/>
            <w:szCs w:val="24"/>
            <w:u w:val="single"/>
            <w:rtl w:val="0"/>
          </w:rPr>
          <w:t xml:space="preserve">https://eurocarers.org/about-carers/</w:t>
        </w:r>
      </w:hyperlink>
      <w:r w:rsidDel="00000000" w:rsidR="00000000" w:rsidRPr="00000000">
        <w:rPr>
          <w:rtl w:val="0"/>
        </w:rPr>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Sandwich Generation Statistics | 100+ Verified Facts - WifiTalents, </w:t>
      </w:r>
      <w:hyperlink r:id="rId49">
        <w:r w:rsidDel="00000000" w:rsidR="00000000" w:rsidRPr="00000000">
          <w:rPr>
            <w:rFonts w:ascii="Google Sans" w:cs="Google Sans" w:eastAsia="Google Sans" w:hAnsi="Google Sans"/>
            <w:color w:val="0000ee"/>
            <w:sz w:val="24"/>
            <w:szCs w:val="24"/>
            <w:u w:val="single"/>
            <w:rtl w:val="0"/>
          </w:rPr>
          <w:t xml:space="preserve">https://wifitalents.com/sandwich-generation-statistics/</w:t>
        </w:r>
      </w:hyperlink>
      <w:r w:rsidDel="00000000" w:rsidR="00000000" w:rsidRPr="00000000">
        <w:rPr>
          <w:rtl w:val="0"/>
        </w:rPr>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America's Caregiver Crisis is Burning Out Millions of Families - Penn LDI, </w:t>
      </w:r>
      <w:hyperlink r:id="rId50">
        <w:r w:rsidDel="00000000" w:rsidR="00000000" w:rsidRPr="00000000">
          <w:rPr>
            <w:rFonts w:ascii="Google Sans" w:cs="Google Sans" w:eastAsia="Google Sans" w:hAnsi="Google Sans"/>
            <w:color w:val="0000ee"/>
            <w:sz w:val="24"/>
            <w:szCs w:val="24"/>
            <w:u w:val="single"/>
            <w:rtl w:val="0"/>
          </w:rPr>
          <w:t xml:space="preserve">https://ldi.upenn.edu/our-work/research-updates/americas-caregiver-crisis-is-burning-out-millions-of-families/</w:t>
        </w:r>
      </w:hyperlink>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Boxes $124.50/each - Annual Wellthy Box Subscripton | The Wellth House, </w:t>
      </w:r>
      <w:hyperlink r:id="rId51">
        <w:r w:rsidDel="00000000" w:rsidR="00000000" w:rsidRPr="00000000">
          <w:rPr>
            <w:rFonts w:ascii="Google Sans" w:cs="Google Sans" w:eastAsia="Google Sans" w:hAnsi="Google Sans"/>
            <w:color w:val="0000ee"/>
            <w:sz w:val="24"/>
            <w:szCs w:val="24"/>
            <w:u w:val="single"/>
            <w:rtl w:val="0"/>
          </w:rPr>
          <w:t xml:space="preserve">https://www.thewellthhouse.com/product-page/copy-of-the-wellthy-subscription-box</w:t>
        </w:r>
      </w:hyperlink>
      <w:r w:rsidDel="00000000" w:rsidR="00000000" w:rsidRPr="00000000">
        <w:rPr>
          <w:rtl w:val="0"/>
        </w:rPr>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 Wellthy, </w:t>
      </w:r>
      <w:hyperlink r:id="rId52">
        <w:r w:rsidDel="00000000" w:rsidR="00000000" w:rsidRPr="00000000">
          <w:rPr>
            <w:rFonts w:ascii="Google Sans" w:cs="Google Sans" w:eastAsia="Google Sans" w:hAnsi="Google Sans"/>
            <w:color w:val="0000ee"/>
            <w:sz w:val="24"/>
            <w:szCs w:val="24"/>
            <w:u w:val="single"/>
            <w:rtl w:val="0"/>
          </w:rPr>
          <w:t xml:space="preserve">https://www.wellthy.com/plans-details/</w:t>
        </w:r>
      </w:hyperlink>
      <w:r w:rsidDel="00000000" w:rsidR="00000000" w:rsidRPr="00000000">
        <w:rPr>
          <w:rtl w:val="0"/>
        </w:rPr>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Details - Wellthy, </w:t>
      </w:r>
      <w:hyperlink r:id="rId53">
        <w:r w:rsidDel="00000000" w:rsidR="00000000" w:rsidRPr="00000000">
          <w:rPr>
            <w:rFonts w:ascii="Google Sans" w:cs="Google Sans" w:eastAsia="Google Sans" w:hAnsi="Google Sans"/>
            <w:color w:val="0000ee"/>
            <w:sz w:val="24"/>
            <w:szCs w:val="24"/>
            <w:u w:val="single"/>
            <w:rtl w:val="0"/>
          </w:rPr>
          <w:t xml:space="preserve">https://wellthy.com/member-program-details/benefits4me</w:t>
        </w:r>
      </w:hyperlink>
      <w:r w:rsidDel="00000000" w:rsidR="00000000" w:rsidRPr="00000000">
        <w:rPr>
          <w:rtl w:val="0"/>
        </w:rPr>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Market Report 2025-2030, By Offering, Disease, and Geo, </w:t>
      </w:r>
      <w:hyperlink r:id="rId54">
        <w:r w:rsidDel="00000000" w:rsidR="00000000" w:rsidRPr="00000000">
          <w:rPr>
            <w:rFonts w:ascii="Google Sans" w:cs="Google Sans" w:eastAsia="Google Sans" w:hAnsi="Google Sans"/>
            <w:color w:val="0000ee"/>
            <w:sz w:val="24"/>
            <w:szCs w:val="24"/>
            <w:u w:val="single"/>
            <w:rtl w:val="0"/>
          </w:rPr>
          <w:t xml:space="preserve">https://www.marketsandmarkets.com/Market-Reports/digital-health-market-45458752.html</w:t>
        </w:r>
      </w:hyperlink>
      <w:r w:rsidDel="00000000" w:rsidR="00000000" w:rsidRPr="00000000">
        <w:rPr>
          <w:rtl w:val="0"/>
        </w:rPr>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Health Record Software Market Growth Analysis 2035 - Research Nester, </w:t>
      </w:r>
      <w:hyperlink r:id="rId55">
        <w:r w:rsidDel="00000000" w:rsidR="00000000" w:rsidRPr="00000000">
          <w:rPr>
            <w:rFonts w:ascii="Google Sans" w:cs="Google Sans" w:eastAsia="Google Sans" w:hAnsi="Google Sans"/>
            <w:color w:val="0000ee"/>
            <w:sz w:val="24"/>
            <w:szCs w:val="24"/>
            <w:u w:val="single"/>
            <w:rtl w:val="0"/>
          </w:rPr>
          <w:t xml:space="preserve">https://www.researchnester.com/reports/personal-health-record-software-market/6618</w:t>
        </w:r>
      </w:hyperlink>
      <w:r w:rsidDel="00000000" w:rsidR="00000000" w:rsidRPr="00000000">
        <w:rPr>
          <w:rtl w:val="0"/>
        </w:rPr>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Medication Management System Market Size Report, 2030 - Grand View Research, </w:t>
      </w:r>
      <w:hyperlink r:id="rId56">
        <w:r w:rsidDel="00000000" w:rsidR="00000000" w:rsidRPr="00000000">
          <w:rPr>
            <w:rFonts w:ascii="Google Sans" w:cs="Google Sans" w:eastAsia="Google Sans" w:hAnsi="Google Sans"/>
            <w:color w:val="0000ee"/>
            <w:sz w:val="24"/>
            <w:szCs w:val="24"/>
            <w:u w:val="single"/>
            <w:rtl w:val="0"/>
          </w:rPr>
          <w:t xml:space="preserve">https://www.grandviewresearch.com/industry-analysis/medication-management-system-market</w:t>
        </w:r>
      </w:hyperlink>
      <w:r w:rsidDel="00000000" w:rsidR="00000000" w:rsidRPr="00000000">
        <w:rPr>
          <w:rtl w:val="0"/>
        </w:rPr>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Protection/FTC Advisory: FTC's Updated Health Breach Notification Rule Now in Effect | News &amp; Insights | Alston &amp; Bird, </w:t>
      </w:r>
      <w:hyperlink r:id="rId57">
        <w:r w:rsidDel="00000000" w:rsidR="00000000" w:rsidRPr="00000000">
          <w:rPr>
            <w:rFonts w:ascii="Google Sans" w:cs="Google Sans" w:eastAsia="Google Sans" w:hAnsi="Google Sans"/>
            <w:color w:val="0000ee"/>
            <w:sz w:val="24"/>
            <w:szCs w:val="24"/>
            <w:u w:val="single"/>
            <w:rtl w:val="0"/>
          </w:rPr>
          <w:t xml:space="preserve">https://www.alston.com/en/insights/publications/2024/08/ftc-updated-health-breach-notification-rule</w:t>
        </w:r>
      </w:hyperlink>
      <w:r w:rsidDel="00000000" w:rsidR="00000000" w:rsidRPr="00000000">
        <w:rPr>
          <w:rtl w:val="0"/>
        </w:rPr>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Complying with FTC's Health Breach Notification Rule | Federal Trade Commission, </w:t>
      </w:r>
      <w:hyperlink r:id="rId58">
        <w:r w:rsidDel="00000000" w:rsidR="00000000" w:rsidRPr="00000000">
          <w:rPr>
            <w:rFonts w:ascii="Google Sans" w:cs="Google Sans" w:eastAsia="Google Sans" w:hAnsi="Google Sans"/>
            <w:color w:val="0000ee"/>
            <w:sz w:val="24"/>
            <w:szCs w:val="24"/>
            <w:u w:val="single"/>
            <w:rtl w:val="0"/>
          </w:rPr>
          <w:t xml:space="preserve">https://www.ftc.gov/business-guidance/resources/complying-ftcs-health-breach-notification-rule-0</w:t>
        </w:r>
      </w:hyperlink>
      <w:r w:rsidDel="00000000" w:rsidR="00000000" w:rsidRPr="00000000">
        <w:rPr>
          <w:rtl w:val="0"/>
        </w:rPr>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GDPR and IoT Devices: Privacy Obligations for Connected Product Manufacturers, </w:t>
      </w:r>
      <w:hyperlink r:id="rId59">
        <w:r w:rsidDel="00000000" w:rsidR="00000000" w:rsidRPr="00000000">
          <w:rPr>
            <w:rFonts w:ascii="Google Sans" w:cs="Google Sans" w:eastAsia="Google Sans" w:hAnsi="Google Sans"/>
            <w:color w:val="0000ee"/>
            <w:sz w:val="24"/>
            <w:szCs w:val="24"/>
            <w:u w:val="single"/>
            <w:rtl w:val="0"/>
          </w:rPr>
          <w:t xml:space="preserve">https://dev.to/custodiaadmin/gdpr-and-iot-devices-privacy-obligations-for-connected-product-manufacturers-4127</w:t>
        </w:r>
      </w:hyperlink>
      <w:r w:rsidDel="00000000" w:rsidR="00000000" w:rsidRPr="00000000">
        <w:rPr>
          <w:rtl w:val="0"/>
        </w:rPr>
      </w:r>
    </w:p>
    <w:p w:rsidR="00000000" w:rsidDel="00000000" w:rsidP="00000000" w:rsidRDefault="00000000" w:rsidRPr="00000000" w14:paraId="000001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European Health Data Space Regulation: An (Uneasy) Marriage Between EHDS and GDPR (Part 2) | GoodLifeSci, </w:t>
      </w:r>
      <w:hyperlink r:id="rId60">
        <w:r w:rsidDel="00000000" w:rsidR="00000000" w:rsidRPr="00000000">
          <w:rPr>
            <w:rFonts w:ascii="Google Sans" w:cs="Google Sans" w:eastAsia="Google Sans" w:hAnsi="Google Sans"/>
            <w:color w:val="0000ee"/>
            <w:sz w:val="24"/>
            <w:szCs w:val="24"/>
            <w:u w:val="single"/>
            <w:rtl w:val="0"/>
          </w:rPr>
          <w:t xml:space="preserve">https://goodlifesci.sidley.com/2026/04/14/navigating-the-european-health-data-space-regulation-an-uneasy-marriage-between-ehds-and-gdpr-april-2026-part-2/</w:t>
        </w:r>
      </w:hyperlink>
      <w:r w:rsidDel="00000000" w:rsidR="00000000" w:rsidRPr="00000000">
        <w:rPr>
          <w:rtl w:val="0"/>
        </w:rPr>
      </w:r>
    </w:p>
    <w:p w:rsidR="00000000" w:rsidDel="00000000" w:rsidP="00000000" w:rsidRDefault="00000000" w:rsidRPr="00000000" w14:paraId="000001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Health Data Space (EHDS) regulation: A new era for digital health in the EU, </w:t>
      </w:r>
      <w:hyperlink r:id="rId61">
        <w:r w:rsidDel="00000000" w:rsidR="00000000" w:rsidRPr="00000000">
          <w:rPr>
            <w:rFonts w:ascii="Google Sans" w:cs="Google Sans" w:eastAsia="Google Sans" w:hAnsi="Google Sans"/>
            <w:color w:val="0000ee"/>
            <w:sz w:val="24"/>
            <w:szCs w:val="24"/>
            <w:u w:val="single"/>
            <w:rtl w:val="0"/>
          </w:rPr>
          <w:t xml:space="preserve">https://uemo.be/media/news-update/european-health-data-space-ehds-regulation-a-new-era-for-digital-health-in-the-e/</w:t>
        </w:r>
      </w:hyperlink>
      <w:r w:rsidDel="00000000" w:rsidR="00000000" w:rsidRPr="00000000">
        <w:rPr>
          <w:rtl w:val="0"/>
        </w:rPr>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Health Data Space (EHDS) Regulation: Guide for Medical Device Manufacturers, </w:t>
      </w:r>
      <w:hyperlink r:id="rId62">
        <w:r w:rsidDel="00000000" w:rsidR="00000000" w:rsidRPr="00000000">
          <w:rPr>
            <w:rFonts w:ascii="Google Sans" w:cs="Google Sans" w:eastAsia="Google Sans" w:hAnsi="Google Sans"/>
            <w:color w:val="0000ee"/>
            <w:sz w:val="24"/>
            <w:szCs w:val="24"/>
            <w:u w:val="single"/>
            <w:rtl w:val="0"/>
          </w:rPr>
          <w:t xml:space="preserve">https://meddeviceguide.com/blog/european-health-data-space-ehds-medical-device-manufacturers-guide</w:t>
        </w:r>
      </w:hyperlink>
      <w:r w:rsidDel="00000000" w:rsidR="00000000" w:rsidRPr="00000000">
        <w:rPr>
          <w:rtl w:val="0"/>
        </w:rPr>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Key Considerations for the Life Sciences Sector - Covington &amp; Burling LLP, </w:t>
      </w:r>
      <w:hyperlink r:id="rId63">
        <w:r w:rsidDel="00000000" w:rsidR="00000000" w:rsidRPr="00000000">
          <w:rPr>
            <w:rFonts w:ascii="Google Sans" w:cs="Google Sans" w:eastAsia="Google Sans" w:hAnsi="Google Sans"/>
            <w:color w:val="0000ee"/>
            <w:sz w:val="24"/>
            <w:szCs w:val="24"/>
            <w:u w:val="single"/>
            <w:rtl w:val="0"/>
          </w:rPr>
          <w:t xml:space="preserve">https://www.cov.com/-/media/files/corporate/publications/2025/06/eu-ai-act-key-considerations-for-the-life-sciences-sector.pdf</w:t>
        </w:r>
      </w:hyperlink>
      <w:r w:rsidDel="00000000" w:rsidR="00000000" w:rsidRPr="00000000">
        <w:rPr>
          <w:rtl w:val="0"/>
        </w:rPr>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High-risk AI system requirements: EU AI Act compliance checklist - Deeploy, </w:t>
      </w:r>
      <w:hyperlink r:id="rId64">
        <w:r w:rsidDel="00000000" w:rsidR="00000000" w:rsidRPr="00000000">
          <w:rPr>
            <w:rFonts w:ascii="Google Sans" w:cs="Google Sans" w:eastAsia="Google Sans" w:hAnsi="Google Sans"/>
            <w:color w:val="0000ee"/>
            <w:sz w:val="24"/>
            <w:szCs w:val="24"/>
            <w:u w:val="single"/>
            <w:rtl w:val="0"/>
          </w:rPr>
          <w:t xml:space="preserve">https://deeploy.ai/eu-ai-act-hub/articles/high-risk-ai-system-requirements-compliance-checklist/</w:t>
        </w:r>
      </w:hyperlink>
      <w:r w:rsidDel="00000000" w:rsidR="00000000" w:rsidRPr="00000000">
        <w:rPr>
          <w:rtl w:val="0"/>
        </w:rPr>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Fasten Health - SMART App Gallery, </w:t>
      </w:r>
      <w:hyperlink r:id="rId65">
        <w:r w:rsidDel="00000000" w:rsidR="00000000" w:rsidRPr="00000000">
          <w:rPr>
            <w:rFonts w:ascii="Google Sans" w:cs="Google Sans" w:eastAsia="Google Sans" w:hAnsi="Google Sans"/>
            <w:color w:val="0000ee"/>
            <w:sz w:val="24"/>
            <w:szCs w:val="24"/>
            <w:u w:val="single"/>
            <w:rtl w:val="0"/>
          </w:rPr>
          <w:t xml:space="preserve">https://apps.smarthealthit.org/app/fasten-health</w:t>
        </w:r>
      </w:hyperlink>
      <w:r w:rsidDel="00000000" w:rsidR="00000000" w:rsidRPr="00000000">
        <w:rPr>
          <w:rtl w:val="0"/>
        </w:rPr>
      </w:r>
    </w:p>
    <w:p w:rsidR="00000000" w:rsidDel="00000000" w:rsidP="00000000" w:rsidRDefault="00000000" w:rsidRPr="00000000" w14:paraId="0000016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Papa: Funding, Team &amp; Investors | Startup Intros, </w:t>
      </w:r>
      <w:hyperlink r:id="rId66">
        <w:r w:rsidDel="00000000" w:rsidR="00000000" w:rsidRPr="00000000">
          <w:rPr>
            <w:rFonts w:ascii="Google Sans" w:cs="Google Sans" w:eastAsia="Google Sans" w:hAnsi="Google Sans"/>
            <w:color w:val="0000ee"/>
            <w:sz w:val="24"/>
            <w:szCs w:val="24"/>
            <w:u w:val="single"/>
            <w:rtl w:val="0"/>
          </w:rPr>
          <w:t xml:space="preserve">https://startupintros.com/orgs/papa</w:t>
        </w:r>
      </w:hyperlink>
      <w:r w:rsidDel="00000000" w:rsidR="00000000" w:rsidRPr="00000000">
        <w:rPr>
          <w:rtl w:val="0"/>
        </w:rPr>
      </w:r>
    </w:p>
    <w:p w:rsidR="00000000" w:rsidDel="00000000" w:rsidP="00000000" w:rsidRDefault="00000000" w:rsidRPr="00000000" w14:paraId="0000016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&amp; Services Launches | PLANSPONSOR, </w:t>
      </w:r>
      <w:hyperlink r:id="rId67">
        <w:r w:rsidDel="00000000" w:rsidR="00000000" w:rsidRPr="00000000">
          <w:rPr>
            <w:rFonts w:ascii="Google Sans" w:cs="Google Sans" w:eastAsia="Google Sans" w:hAnsi="Google Sans"/>
            <w:color w:val="0000ee"/>
            <w:sz w:val="24"/>
            <w:szCs w:val="24"/>
            <w:u w:val="single"/>
            <w:rtl w:val="0"/>
          </w:rPr>
          <w:t xml:space="preserve">https://www.plansponsor.com/products-services-launches-4/</w:t>
        </w:r>
      </w:hyperlink>
      <w:r w:rsidDel="00000000" w:rsidR="00000000" w:rsidRPr="00000000">
        <w:rPr>
          <w:rtl w:val="0"/>
        </w:rPr>
      </w:r>
    </w:p>
    <w:p w:rsidR="00000000" w:rsidDel="00000000" w:rsidP="00000000" w:rsidRDefault="00000000" w:rsidRPr="00000000" w14:paraId="0000016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Vesta Healthcare 2026 Company Profile: Valuation, Funding &amp; Investors | PitchBook, </w:t>
      </w:r>
      <w:hyperlink r:id="rId68">
        <w:r w:rsidDel="00000000" w:rsidR="00000000" w:rsidRPr="00000000">
          <w:rPr>
            <w:rFonts w:ascii="Google Sans" w:cs="Google Sans" w:eastAsia="Google Sans" w:hAnsi="Google Sans"/>
            <w:color w:val="0000ee"/>
            <w:sz w:val="24"/>
            <w:szCs w:val="24"/>
            <w:u w:val="single"/>
            <w:rtl w:val="0"/>
          </w:rPr>
          <w:t xml:space="preserve">https://pitchbook.com/profiles/company/110421-64</w:t>
        </w:r>
      </w:hyperlink>
      <w:r w:rsidDel="00000000" w:rsidR="00000000" w:rsidRPr="00000000">
        <w:rPr>
          <w:rtl w:val="0"/>
        </w:rPr>
      </w:r>
    </w:p>
    <w:p w:rsidR="00000000" w:rsidDel="00000000" w:rsidP="00000000" w:rsidRDefault="00000000" w:rsidRPr="00000000" w14:paraId="0000016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Market Insights - Hyde Park Capital, </w:t>
      </w:r>
      <w:hyperlink r:id="rId69">
        <w:r w:rsidDel="00000000" w:rsidR="00000000" w:rsidRPr="00000000">
          <w:rPr>
            <w:rFonts w:ascii="Google Sans" w:cs="Google Sans" w:eastAsia="Google Sans" w:hAnsi="Google Sans"/>
            <w:color w:val="0000ee"/>
            <w:sz w:val="24"/>
            <w:szCs w:val="24"/>
            <w:u w:val="single"/>
            <w:rtl w:val="0"/>
          </w:rPr>
          <w:t xml:space="preserve">https://hydeparkcapital.com/wp-content/uploads/2024/12/HPC-Digital-Health-Outlook-Fall-2024.pdf</w:t>
        </w:r>
      </w:hyperlink>
      <w:r w:rsidDel="00000000" w:rsidR="00000000" w:rsidRPr="00000000">
        <w:rPr>
          <w:rtl w:val="0"/>
        </w:rPr>
      </w:r>
    </w:p>
    <w:p w:rsidR="00000000" w:rsidDel="00000000" w:rsidP="00000000" w:rsidRDefault="00000000" w:rsidRPr="00000000" w14:paraId="0000016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Cariloop raises $20M with benefits for workers who care for family members, </w:t>
      </w:r>
      <w:hyperlink r:id="rId70">
        <w:r w:rsidDel="00000000" w:rsidR="00000000" w:rsidRPr="00000000">
          <w:rPr>
            <w:rFonts w:ascii="Google Sans" w:cs="Google Sans" w:eastAsia="Google Sans" w:hAnsi="Google Sans"/>
            <w:color w:val="0000ee"/>
            <w:sz w:val="24"/>
            <w:szCs w:val="24"/>
            <w:u w:val="single"/>
            <w:rtl w:val="0"/>
          </w:rPr>
          <w:t xml:space="preserve">https://cariloop.com/news/cariloop-raises-20m-with-benefits-for-workers-who-care-for-family-members</w:t>
        </w:r>
      </w:hyperlink>
      <w:r w:rsidDel="00000000" w:rsidR="00000000" w:rsidRPr="00000000">
        <w:rPr>
          <w:rtl w:val="0"/>
        </w:rPr>
      </w:r>
    </w:p>
    <w:p w:rsidR="00000000" w:rsidDel="00000000" w:rsidP="00000000" w:rsidRDefault="00000000" w:rsidRPr="00000000" w14:paraId="0000016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Startups funded by Y Combinator (YC) 2026, </w:t>
      </w:r>
      <w:hyperlink r:id="rId71">
        <w:r w:rsidDel="00000000" w:rsidR="00000000" w:rsidRPr="00000000">
          <w:rPr>
            <w:rFonts w:ascii="Google Sans" w:cs="Google Sans" w:eastAsia="Google Sans" w:hAnsi="Google Sans"/>
            <w:color w:val="0000ee"/>
            <w:sz w:val="24"/>
            <w:szCs w:val="24"/>
            <w:u w:val="single"/>
            <w:rtl w:val="0"/>
          </w:rPr>
          <w:t xml:space="preserve">https://www.ycombinator.com/companies/industry/healthcare</w:t>
        </w:r>
      </w:hyperlink>
      <w:r w:rsidDel="00000000" w:rsidR="00000000" w:rsidRPr="00000000">
        <w:rPr>
          <w:rtl w:val="0"/>
        </w:rPr>
      </w:r>
    </w:p>
    <w:p w:rsidR="00000000" w:rsidDel="00000000" w:rsidP="00000000" w:rsidRDefault="00000000" w:rsidRPr="00000000" w14:paraId="0000016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Startups funded by Y Combinator (YC) 2026, </w:t>
      </w:r>
      <w:hyperlink r:id="rId72">
        <w:r w:rsidDel="00000000" w:rsidR="00000000" w:rsidRPr="00000000">
          <w:rPr>
            <w:rFonts w:ascii="Google Sans" w:cs="Google Sans" w:eastAsia="Google Sans" w:hAnsi="Google Sans"/>
            <w:color w:val="0000ee"/>
            <w:sz w:val="24"/>
            <w:szCs w:val="24"/>
            <w:u w:val="single"/>
            <w:rtl w:val="0"/>
          </w:rPr>
          <w:t xml:space="preserve">https://www.ycombinator.com/companies/industry/digital-health</w:t>
        </w:r>
      </w:hyperlink>
      <w:r w:rsidDel="00000000" w:rsidR="00000000" w:rsidRPr="00000000">
        <w:rPr>
          <w:rtl w:val="0"/>
        </w:rPr>
      </w:r>
    </w:p>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Services Startups funded by Y Combinator (YC) 2026, </w:t>
      </w:r>
      <w:hyperlink r:id="rId73">
        <w:r w:rsidDel="00000000" w:rsidR="00000000" w:rsidRPr="00000000">
          <w:rPr>
            <w:rFonts w:ascii="Google Sans" w:cs="Google Sans" w:eastAsia="Google Sans" w:hAnsi="Google Sans"/>
            <w:color w:val="0000ee"/>
            <w:sz w:val="24"/>
            <w:szCs w:val="24"/>
            <w:u w:val="single"/>
            <w:rtl w:val="0"/>
          </w:rPr>
          <w:t xml:space="preserve">https://www.ycombinator.com/companies/industry/healthcare-services</w:t>
        </w:r>
      </w:hyperlink>
      <w:r w:rsidDel="00000000" w:rsidR="00000000" w:rsidRPr="00000000">
        <w:rPr>
          <w:rtl w:val="0"/>
        </w:rPr>
      </w:r>
    </w:p>
    <w:p w:rsidR="00000000" w:rsidDel="00000000" w:rsidP="00000000" w:rsidRDefault="00000000" w:rsidRPr="00000000" w14:paraId="0000016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Requests for Startups - Y Combinator, </w:t>
      </w:r>
      <w:hyperlink r:id="rId74">
        <w:r w:rsidDel="00000000" w:rsidR="00000000" w:rsidRPr="00000000">
          <w:rPr>
            <w:rFonts w:ascii="Google Sans" w:cs="Google Sans" w:eastAsia="Google Sans" w:hAnsi="Google Sans"/>
            <w:color w:val="0000ee"/>
            <w:sz w:val="24"/>
            <w:szCs w:val="24"/>
            <w:u w:val="single"/>
            <w:rtl w:val="0"/>
          </w:rPr>
          <w:t xml:space="preserve">https://www.ycombinator.com/rfs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uiltinboston.com/articles/ianacare-gained-12m-healthcare-boston-hiring" TargetMode="External"/><Relationship Id="rId42" Type="http://schemas.openxmlformats.org/officeDocument/2006/relationships/hyperlink" Target="https://easypa.ai/blog/dangers-of-chatgpt-for-medical-appeals" TargetMode="External"/><Relationship Id="rId41" Type="http://schemas.openxmlformats.org/officeDocument/2006/relationships/hyperlink" Target="https://www.businesswire.com/news/home/20220104005098/en/ianacare-Raises-%2412.1M-to-Fundamentally-Change-the-Family-Caregiver-Experience" TargetMode="External"/><Relationship Id="rId44" Type="http://schemas.openxmlformats.org/officeDocument/2006/relationships/hyperlink" Target="https://time.com/7344997/chatgpt-health-medical-records-privacy-open-ai/" TargetMode="External"/><Relationship Id="rId43" Type="http://schemas.openxmlformats.org/officeDocument/2006/relationships/hyperlink" Target="https://patient-protect.com/post/is-chatgpt-hipaa-compliant-ai-patient-data-risk" TargetMode="External"/><Relationship Id="rId46" Type="http://schemas.openxmlformats.org/officeDocument/2006/relationships/hyperlink" Target="https://www.aarp.org/caregiving/financial-legal/valuing-the-invaluable-report-2026/" TargetMode="External"/><Relationship Id="rId45" Type="http://schemas.openxmlformats.org/officeDocument/2006/relationships/hyperlink" Target="https://www.pewresearch.org/short-reads/2022/04/08/more-than-half-of-americans-in-their-40s-are-sandwiched-between-an-aging-parent-and-their-own-childr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ellthy.com/employers/purchase-plan/" TargetMode="External"/><Relationship Id="rId48" Type="http://schemas.openxmlformats.org/officeDocument/2006/relationships/hyperlink" Target="https://eurocarers.org/about-carers/" TargetMode="External"/><Relationship Id="rId47" Type="http://schemas.openxmlformats.org/officeDocument/2006/relationships/hyperlink" Target="https://eurocarers.org/wp-content/uploads/2024/09/Eurocarers-Gender-dimension-of-infomal-care.pdf" TargetMode="External"/><Relationship Id="rId49" Type="http://schemas.openxmlformats.org/officeDocument/2006/relationships/hyperlink" Target="https://wifitalents.com/sandwich-generation-statistics/" TargetMode="External"/><Relationship Id="rId5" Type="http://schemas.openxmlformats.org/officeDocument/2006/relationships/styles" Target="styles.xml"/><Relationship Id="rId6" Type="http://schemas.openxmlformats.org/officeDocument/2006/relationships/hyperlink" Target="https://www.researchandmarkets.com/reports/6226106/ai-in-aging-elderly-care-market-report" TargetMode="External"/><Relationship Id="rId7" Type="http://schemas.openxmlformats.org/officeDocument/2006/relationships/hyperlink" Target="https://www.aarp.org/press/releases/2025-07-24-new-report-reveals-crisis-point-for-americas-63-million-family-caregivers.html" TargetMode="External"/><Relationship Id="rId8" Type="http://schemas.openxmlformats.org/officeDocument/2006/relationships/hyperlink" Target="https://pillo.care/blog/medisafe-not-free-what-to-do" TargetMode="External"/><Relationship Id="rId73" Type="http://schemas.openxmlformats.org/officeDocument/2006/relationships/hyperlink" Target="https://www.ycombinator.com/companies/industry/healthcare-services" TargetMode="External"/><Relationship Id="rId72" Type="http://schemas.openxmlformats.org/officeDocument/2006/relationships/hyperlink" Target="https://www.ycombinator.com/companies/industry/digital-health" TargetMode="External"/><Relationship Id="rId31" Type="http://schemas.openxmlformats.org/officeDocument/2006/relationships/hyperlink" Target="https://docus.ai/pricing" TargetMode="External"/><Relationship Id="rId30" Type="http://schemas.openxmlformats.org/officeDocument/2006/relationships/hyperlink" Target="https://docus.ai/ai-health-assistant" TargetMode="External"/><Relationship Id="rId74" Type="http://schemas.openxmlformats.org/officeDocument/2006/relationships/hyperlink" Target="https://www.ycombinator.com/rfs" TargetMode="External"/><Relationship Id="rId33" Type="http://schemas.openxmlformats.org/officeDocument/2006/relationships/hyperlink" Target="https://apps.apple.com/us/app/mychart/id382952264" TargetMode="External"/><Relationship Id="rId32" Type="http://schemas.openxmlformats.org/officeDocument/2006/relationships/hyperlink" Target="https://docus.ai/blog/ai-assisted-decisions-in-healthcare" TargetMode="External"/><Relationship Id="rId35" Type="http://schemas.openxmlformats.org/officeDocument/2006/relationships/hyperlink" Target="https://pillo.care/blog/pillo-vs-medisafe-comparison" TargetMode="External"/><Relationship Id="rId34" Type="http://schemas.openxmlformats.org/officeDocument/2006/relationships/hyperlink" Target="https://intuitionlabs.ai/software/pdfs/epic-mychart.pdf" TargetMode="External"/><Relationship Id="rId71" Type="http://schemas.openxmlformats.org/officeDocument/2006/relationships/hyperlink" Target="https://www.ycombinator.com/companies/industry/healthcare" TargetMode="External"/><Relationship Id="rId70" Type="http://schemas.openxmlformats.org/officeDocument/2006/relationships/hyperlink" Target="https://cariloop.com/news/cariloop-raises-20m-with-benefits-for-workers-who-care-for-family-members" TargetMode="External"/><Relationship Id="rId37" Type="http://schemas.openxmlformats.org/officeDocument/2006/relationships/hyperlink" Target="https://www.fiercehealthcare.com/payers/papa-more-closely-align-insurers-promising-cost-reductions" TargetMode="External"/><Relationship Id="rId36" Type="http://schemas.openxmlformats.org/officeDocument/2006/relationships/hyperlink" Target="https://businessmodelcanvastemplate.com/blogs/competitors/papa-competitive-landscape" TargetMode="External"/><Relationship Id="rId39" Type="http://schemas.openxmlformats.org/officeDocument/2006/relationships/hyperlink" Target="https://tracxn.com/d/companies/homethrive/__XK_4BdnQ2WbekIuZJOx5341KvENHDKw80Et97GekkO4" TargetMode="External"/><Relationship Id="rId38" Type="http://schemas.openxmlformats.org/officeDocument/2006/relationships/hyperlink" Target="https://pitchbook.com/profiles/company/59075-92" TargetMode="External"/><Relationship Id="rId62" Type="http://schemas.openxmlformats.org/officeDocument/2006/relationships/hyperlink" Target="https://meddeviceguide.com/blog/european-health-data-space-ehds-medical-device-manufacturers-guide" TargetMode="External"/><Relationship Id="rId61" Type="http://schemas.openxmlformats.org/officeDocument/2006/relationships/hyperlink" Target="https://uemo.be/media/news-update/european-health-data-space-ehds-regulation-a-new-era-for-digital-health-in-the-e/" TargetMode="External"/><Relationship Id="rId20" Type="http://schemas.openxmlformats.org/officeDocument/2006/relationships/hyperlink" Target="https://www.commonhealth.org/faqs" TargetMode="External"/><Relationship Id="rId64" Type="http://schemas.openxmlformats.org/officeDocument/2006/relationships/hyperlink" Target="https://deeploy.ai/eu-ai-act-hub/articles/high-risk-ai-system-requirements-compliance-checklist/" TargetMode="External"/><Relationship Id="rId63" Type="http://schemas.openxmlformats.org/officeDocument/2006/relationships/hyperlink" Target="https://www.cov.com/-/media/files/corporate/publications/2025/06/eu-ai-act-key-considerations-for-the-life-sciences-sector.pdf" TargetMode="External"/><Relationship Id="rId22" Type="http://schemas.openxmlformats.org/officeDocument/2006/relationships/hyperlink" Target="https://medevel.com/fasten/" TargetMode="External"/><Relationship Id="rId66" Type="http://schemas.openxmlformats.org/officeDocument/2006/relationships/hyperlink" Target="https://startupintros.com/orgs/papa" TargetMode="External"/><Relationship Id="rId21" Type="http://schemas.openxmlformats.org/officeDocument/2006/relationships/hyperlink" Target="https://www.fastenhealth.com/" TargetMode="External"/><Relationship Id="rId65" Type="http://schemas.openxmlformats.org/officeDocument/2006/relationships/hyperlink" Target="https://apps.smarthealthit.org/app/fasten-health" TargetMode="External"/><Relationship Id="rId24" Type="http://schemas.openxmlformats.org/officeDocument/2006/relationships/hyperlink" Target="https://startupintros.com/orgs/b-well-connected-health" TargetMode="External"/><Relationship Id="rId68" Type="http://schemas.openxmlformats.org/officeDocument/2006/relationships/hyperlink" Target="https://pitchbook.com/profiles/company/110421-64" TargetMode="External"/><Relationship Id="rId23" Type="http://schemas.openxmlformats.org/officeDocument/2006/relationships/hyperlink" Target="https://www.hostinger.com/applications/fasten-health" TargetMode="External"/><Relationship Id="rId67" Type="http://schemas.openxmlformats.org/officeDocument/2006/relationships/hyperlink" Target="https://www.plansponsor.com/products-services-launches-4/" TargetMode="External"/><Relationship Id="rId60" Type="http://schemas.openxmlformats.org/officeDocument/2006/relationships/hyperlink" Target="https://goodlifesci.sidley.com/2026/04/14/navigating-the-european-health-data-space-regulation-an-uneasy-marriage-between-ehds-and-gdpr-april-2026-part-2/" TargetMode="External"/><Relationship Id="rId26" Type="http://schemas.openxmlformats.org/officeDocument/2006/relationships/hyperlink" Target="https://www.icanbwell.com/" TargetMode="External"/><Relationship Id="rId25" Type="http://schemas.openxmlformats.org/officeDocument/2006/relationships/hyperlink" Target="https://www.icanbwell.com/health-plan-solutions/" TargetMode="External"/><Relationship Id="rId69" Type="http://schemas.openxmlformats.org/officeDocument/2006/relationships/hyperlink" Target="https://hydeparkcapital.com/wp-content/uploads/2024/12/HPC-Digital-Health-Outlook-Fall-2024.pdf" TargetMode="External"/><Relationship Id="rId28" Type="http://schemas.openxmlformats.org/officeDocument/2006/relationships/hyperlink" Target="https://about.ada.com/press/220210-ada-health-extends-series-b-to-120-million/" TargetMode="External"/><Relationship Id="rId27" Type="http://schemas.openxmlformats.org/officeDocument/2006/relationships/hyperlink" Target="https://talkbusiness.net/2020/06/walmart-acquires-some-assets-of-carezone-for-prescription-management/" TargetMode="External"/><Relationship Id="rId29" Type="http://schemas.openxmlformats.org/officeDocument/2006/relationships/hyperlink" Target="https://www.fiercebiotech.com/medtech/ada-health-hits-120m-series-b-top-up-for-symptom-assessment-ai-app" TargetMode="External"/><Relationship Id="rId51" Type="http://schemas.openxmlformats.org/officeDocument/2006/relationships/hyperlink" Target="https://www.thewellthhouse.com/product-page/copy-of-the-wellthy-subscription-box" TargetMode="External"/><Relationship Id="rId50" Type="http://schemas.openxmlformats.org/officeDocument/2006/relationships/hyperlink" Target="https://ldi.upenn.edu/our-work/research-updates/americas-caregiver-crisis-is-burning-out-millions-of-families/" TargetMode="External"/><Relationship Id="rId53" Type="http://schemas.openxmlformats.org/officeDocument/2006/relationships/hyperlink" Target="https://wellthy.com/member-program-details/benefits4me" TargetMode="External"/><Relationship Id="rId52" Type="http://schemas.openxmlformats.org/officeDocument/2006/relationships/hyperlink" Target="https://www.wellthy.com/plans-details/" TargetMode="External"/><Relationship Id="rId11" Type="http://schemas.openxmlformats.org/officeDocument/2006/relationships/hyperlink" Target="https://www.mcdermottlaw.com/insights/ftc-amends-health-breach-notification-rule-to-regulate-health-apps-and-expand-breach-notification-requirements/" TargetMode="External"/><Relationship Id="rId55" Type="http://schemas.openxmlformats.org/officeDocument/2006/relationships/hyperlink" Target="https://www.researchnester.com/reports/personal-health-record-software-market/6618" TargetMode="External"/><Relationship Id="rId10" Type="http://schemas.openxmlformats.org/officeDocument/2006/relationships/hyperlink" Target="https://www.ahima.org/media/oismrpaz/faq-ftc-health-breach-notification-final-rule-final.pdf" TargetMode="External"/><Relationship Id="rId54" Type="http://schemas.openxmlformats.org/officeDocument/2006/relationships/hyperlink" Target="https://www.marketsandmarkets.com/Market-Reports/digital-health-market-45458752.html" TargetMode="External"/><Relationship Id="rId13" Type="http://schemas.openxmlformats.org/officeDocument/2006/relationships/hyperlink" Target="https://www.questa-ai.com/privacy-cafe/protecting-ai-systems-why-data-privacy-comes-first" TargetMode="External"/><Relationship Id="rId57" Type="http://schemas.openxmlformats.org/officeDocument/2006/relationships/hyperlink" Target="https://www.alston.com/en/insights/publications/2024/08/ftc-updated-health-breach-notification-rule" TargetMode="External"/><Relationship Id="rId12" Type="http://schemas.openxmlformats.org/officeDocument/2006/relationships/hyperlink" Target="https://gdprhub.eu/Article_9_GDPR" TargetMode="External"/><Relationship Id="rId56" Type="http://schemas.openxmlformats.org/officeDocument/2006/relationships/hyperlink" Target="https://www.grandviewresearch.com/industry-analysis/medication-management-system-market" TargetMode="External"/><Relationship Id="rId15" Type="http://schemas.openxmlformats.org/officeDocument/2006/relationships/hyperlink" Target="https://www.calvin-risk.com/blog/the-eu-ai-act-simplified-what-are-your-obligations-as-a-company-using-high-risk-ai" TargetMode="External"/><Relationship Id="rId59" Type="http://schemas.openxmlformats.org/officeDocument/2006/relationships/hyperlink" Target="https://dev.to/custodiaadmin/gdpr-and-iot-devices-privacy-obligations-for-connected-product-manufacturers-4127" TargetMode="External"/><Relationship Id="rId14" Type="http://schemas.openxmlformats.org/officeDocument/2006/relationships/hyperlink" Target="https://getregula.com/guides/eu-ai-act-healthcare.html" TargetMode="External"/><Relationship Id="rId58" Type="http://schemas.openxmlformats.org/officeDocument/2006/relationships/hyperlink" Target="https://www.ftc.gov/business-guidance/resources/complying-ftcs-health-breach-notification-rule-0" TargetMode="External"/><Relationship Id="rId17" Type="http://schemas.openxmlformats.org/officeDocument/2006/relationships/hyperlink" Target="https://health.ec.europa.eu/ehealth-digital-health-and-care/european-health-data-space-regulation-ehds_en" TargetMode="External"/><Relationship Id="rId16" Type="http://schemas.openxmlformats.org/officeDocument/2006/relationships/hyperlink" Target="https://uroweb.org/the-european-health-data-space-regulation-ehds" TargetMode="External"/><Relationship Id="rId19" Type="http://schemas.openxmlformats.org/officeDocument/2006/relationships/hyperlink" Target="https://www.healthcare.digital/single-post/apple-health-fhir-r4-and-the-future-of-medical-records" TargetMode="External"/><Relationship Id="rId18" Type="http://schemas.openxmlformats.org/officeDocument/2006/relationships/hyperlink" Target="https://support.apple.com/fr-tn/guide/healthregister/apd531bc6215/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