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softHyphen/>
      </w:r>
      <w:r>
        <w:rPr>
          <w:b/>
          <w:bCs/>
        </w:rPr>
        <w:t>COMPARATIVE EFFICIENCY ANALYSIS OF PMM3 ESTIMATORS FOR LINEAR REGRESSION WITH SYMMETRIC BIMODAL ERRORS</w:t>
      </w:r>
    </w:p>
    <w:p>
      <w:pPr>
        <w:pStyle w:val="Normal"/>
        <w:jc w:val="center"/>
        <w:rPr/>
      </w:pPr>
      <w:r>
        <w:rPr/>
      </w:r>
    </w:p>
    <w:p>
      <w:pPr>
        <w:pStyle w:val="Normal"/>
        <w:spacing w:before="120" w:after="0"/>
        <w:jc w:val="center"/>
        <w:rPr>
          <w:b/>
          <w:bCs/>
          <w:vertAlign w:val="superscript"/>
        </w:rPr>
      </w:pPr>
      <w:r>
        <w:rPr>
          <w:b/>
          <w:bCs/>
        </w:rPr>
        <w:t>Zabolotnii S.</w:t>
      </w:r>
      <w:r>
        <w:rPr>
          <w:b/>
          <w:bCs/>
          <w:vertAlign w:val="superscript"/>
        </w:rPr>
        <w:t>1</w:t>
      </w:r>
      <w:r>
        <w:rPr>
          <w:b/>
          <w:bCs/>
        </w:rPr>
        <w:t>, Chepynoga A.</w:t>
      </w:r>
      <w:r>
        <w:rPr>
          <w:b/>
          <w:bCs/>
          <w:vertAlign w:val="superscript"/>
        </w:rPr>
        <w:t>2</w:t>
      </w:r>
      <w:r>
        <w:rPr>
          <w:b/>
          <w:bCs/>
        </w:rPr>
        <w:t>, Klopotovsky P.</w:t>
      </w:r>
      <w:r>
        <w:rPr>
          <w:b/>
          <w:bCs/>
          <w:vertAlign w:val="superscript"/>
        </w:rPr>
        <w:t>2</w:t>
      </w:r>
    </w:p>
    <w:p>
      <w:pPr>
        <w:pStyle w:val="Normal"/>
        <w:spacing w:before="120" w:after="0"/>
        <w:jc w:val="center"/>
        <w:rPr/>
      </w:pPr>
      <w:r>
        <w:rPr>
          <w:vertAlign w:val="superscript"/>
        </w:rPr>
        <w:t>1</w:t>
      </w:r>
      <w:r>
        <w:rPr/>
        <w:t>Cherkasy State Business College, Cherkasy, Ukraine</w:t>
      </w:r>
    </w:p>
    <w:p>
      <w:pPr>
        <w:pStyle w:val="Normal"/>
        <w:jc w:val="center"/>
        <w:rPr/>
      </w:pPr>
      <w:r>
        <w:rPr>
          <w:vertAlign w:val="superscript"/>
        </w:rPr>
        <w:t>2</w:t>
      </w:r>
      <w:r>
        <w:rPr/>
        <w:t>Cherkasy State Technological University, Cherkasy, Ukraine</w:t>
      </w:r>
    </w:p>
    <w:p>
      <w:pPr>
        <w:pStyle w:val="Normal"/>
        <w:ind w:firstLine="567"/>
        <w:jc w:val="both"/>
        <w:rPr>
          <w:bCs/>
          <w:sz w:val="22"/>
          <w:szCs w:val="22"/>
        </w:rPr>
      </w:pPr>
      <w:r>
        <w:rPr>
          <w:bCs/>
          <w:sz w:val="22"/>
          <w:szCs w:val="22"/>
        </w:rPr>
      </w:r>
    </w:p>
    <w:p>
      <w:pPr>
        <w:pStyle w:val="Normal"/>
        <w:ind w:firstLine="567"/>
        <w:jc w:val="both"/>
        <w:rPr/>
      </w:pPr>
      <w:r>
        <w:rPr>
          <w:b/>
          <w:bCs/>
          <w:sz w:val="22"/>
          <w:szCs w:val="22"/>
        </w:rPr>
        <w:t xml:space="preserve">Abstract. </w:t>
      </w:r>
      <w:r>
        <w:rPr>
          <w:sz w:val="22"/>
          <w:szCs w:val="22"/>
        </w:rPr>
        <w:t>This paper addresses the estimation of linear regression parameters under symmetric non-Gaussian errors following the Two-piece Normal (TN) distribution. Three methods are compared: Ordinary Least Squares (OLS), Maximum Likelihood for TN (MLE-TN), and the third-power Polynomial Maximization Method (PMM3). PMM3 is semi-parametric and relies only on sample moments of order two, four, and six. A Monte Carlo study (</w:t>
      </w:r>
      <w:r>
        <w:rPr>
          <w:i/>
          <w:iCs/>
          <w:sz w:val="22"/>
          <w:szCs w:val="22"/>
        </w:rPr>
        <w:t>M</w:t>
      </w:r>
      <w:r>
        <w:rPr>
          <w:sz w:val="22"/>
          <w:szCs w:val="22"/>
        </w:rPr>
        <w:t xml:space="preserve"> = 500, </w:t>
      </w:r>
      <w:r>
        <w:rPr>
          <w:i/>
          <w:iCs/>
          <w:sz w:val="22"/>
          <w:szCs w:val="22"/>
        </w:rPr>
        <w:t>n</w:t>
      </w:r>
      <w:r>
        <w:rPr>
          <w:sz w:val="22"/>
          <w:szCs w:val="22"/>
        </w:rPr>
        <w:t xml:space="preserve"> ∈{46, 100, 200, 500}) confirms theoretical predictions: PMM3 achieves up to 95.5% variance reduction over OLS at </w:t>
      </w:r>
      <w:r>
        <w:rPr>
          <w:i/>
          <w:iCs/>
          <w:sz w:val="22"/>
          <w:szCs w:val="22"/>
        </w:rPr>
        <w:t>λ</w:t>
      </w:r>
      <w:r>
        <w:rPr>
          <w:sz w:val="22"/>
          <w:szCs w:val="22"/>
        </w:rPr>
        <w:t>=5 and remains robust under model misspecification, while MLE-TN may lose efficiency. Applied to Fisher’s Iris versicolor data (</w:t>
      </w:r>
      <w:r>
        <w:rPr>
          <w:i/>
          <w:iCs/>
          <w:sz w:val="22"/>
          <w:szCs w:val="22"/>
        </w:rPr>
        <w:t>n</w:t>
      </w:r>
      <w:r>
        <w:rPr>
          <w:sz w:val="22"/>
          <w:szCs w:val="22"/>
        </w:rPr>
        <w:t xml:space="preserve">=50, </w:t>
      </w:r>
      <w:r>
        <w:rPr>
          <w:i/>
          <w:iCs/>
          <w:sz w:val="22"/>
          <w:szCs w:val="22"/>
        </w:rPr>
        <w:t>γ</w:t>
      </w:r>
      <w:r>
        <w:rPr>
          <w:i/>
          <w:iCs/>
          <w:sz w:val="22"/>
          <w:szCs w:val="22"/>
          <w:vertAlign w:val="subscript"/>
        </w:rPr>
        <w:t>4</w:t>
      </w:r>
      <w:r>
        <w:rPr>
          <w:sz w:val="22"/>
          <w:szCs w:val="22"/>
        </w:rPr>
        <w:t xml:space="preserve">=–0.966), PMM3 achieves 43% bootstrap variance reduction. The empirical efficiency threshold is </w:t>
      </w:r>
      <w:r>
        <w:rPr>
          <w:i/>
          <w:iCs/>
          <w:sz w:val="22"/>
          <w:szCs w:val="22"/>
        </w:rPr>
        <w:t>γ</w:t>
      </w:r>
      <w:r>
        <w:rPr>
          <w:i/>
          <w:iCs/>
          <w:sz w:val="22"/>
          <w:szCs w:val="22"/>
          <w:vertAlign w:val="subscript"/>
        </w:rPr>
        <w:t>4</w:t>
      </w:r>
      <w:r>
        <w:rPr>
          <w:sz w:val="22"/>
          <w:szCs w:val="22"/>
        </w:rPr>
        <w:t>≲–0.7.</w:t>
      </w:r>
    </w:p>
    <w:p>
      <w:pPr>
        <w:pStyle w:val="Normal"/>
        <w:ind w:firstLine="567"/>
        <w:jc w:val="both"/>
        <w:rPr>
          <w:sz w:val="22"/>
          <w:szCs w:val="22"/>
        </w:rPr>
      </w:pPr>
      <w:r>
        <w:rPr>
          <w:b/>
          <w:bCs/>
          <w:sz w:val="22"/>
          <w:szCs w:val="22"/>
        </w:rPr>
        <w:t xml:space="preserve">Keywords: </w:t>
      </w:r>
      <w:r>
        <w:rPr>
          <w:sz w:val="22"/>
          <w:szCs w:val="22"/>
        </w:rPr>
        <w:t>polynomial maximization method, linear regression, two-piece normal distribution, maximum likelihood, estimation efficiency, Monte Carlo simulation.</w:t>
      </w:r>
    </w:p>
    <w:p>
      <w:pPr>
        <w:pStyle w:val="Normal"/>
        <w:ind w:firstLine="567"/>
        <w:jc w:val="both"/>
        <w:rPr/>
      </w:pPr>
      <w:r>
        <w:rPr/>
      </w:r>
    </w:p>
    <w:p>
      <w:pPr>
        <w:pStyle w:val="Normal"/>
        <w:ind w:firstLine="567"/>
        <w:jc w:val="both"/>
        <w:rPr/>
      </w:pPr>
      <w:r>
        <w:rPr>
          <w:b/>
          <w:bCs/>
        </w:rPr>
        <w:t>Introduction.</w:t>
      </w:r>
      <w:r>
        <w:rPr/>
        <w:t xml:space="preserve"> The classical Ordinary Least Squares (OLS) method, proposed by Gauss in 1809, serves as the Best Linear Unbiased Estimator (BLUE) under the assumption of Gaussian error distribution. However, when deviations from normality occur, OLS loses its asymptotic optimality. In such cases, alternative estimators based on modified likelihood can provide significantly lower variance [1]. In practical applications within metrology, medicine, and natural sciences, errors often exhibit symmetric yet non-Gaussian distributions. In particular, platykurtic distributions (excess kurtosis </w:t>
      </w:r>
      <w:r>
        <w:rPr>
          <w:i/>
          <w:iCs/>
        </w:rPr>
        <w:t>γ</w:t>
      </w:r>
      <w:r>
        <w:rPr>
          <w:i/>
          <w:iCs/>
          <w:vertAlign w:val="subscript"/>
        </w:rPr>
        <w:t>4</w:t>
      </w:r>
      <w:r>
        <w:rPr/>
        <w:t>&lt;0) arise in measurements with limited ranges, the aggregation of multiple uniform-type error sources, and similar contexts [2].</w:t>
      </w:r>
    </w:p>
    <w:p>
      <w:pPr>
        <w:pStyle w:val="Normal"/>
        <w:ind w:firstLine="567"/>
        <w:jc w:val="both"/>
        <w:rPr/>
      </w:pPr>
      <w:r>
        <w:rPr/>
        <w:t>One important class of such distributions is the two-piece normal (TN) distribution, formally described in classical statistical literature in [3] and generalized in [4]. The TN distribution covers a spectrum of shapes, ranging from nearly Gaussian (</w:t>
      </w:r>
      <w:r>
        <w:rPr/>
      </w:r>
      <m:oMath xmlns:m="http://schemas.openxmlformats.org/officeDocument/2006/math">
        <m:r>
          <m:t xml:space="preserve">λ</m:t>
        </m:r>
      </m:oMath>
      <w:r>
        <w:rPr/>
        <w:t>≈0) to bimodal (</w:t>
      </w:r>
      <w:r>
        <w:rPr/>
      </w:r>
      <m:oMath xmlns:m="http://schemas.openxmlformats.org/officeDocument/2006/math">
        <m:r>
          <m:t xml:space="preserve">λ</m:t>
        </m:r>
        <m:r>
          <m:rPr>
            <m:lit/>
            <m:nor/>
          </m:rPr>
          <m:t xml:space="preserve">&gt;</m:t>
        </m:r>
        <m:f>
          <m:fPr>
            <m:type m:val="lin"/>
          </m:fPr>
          <m:num>
            <m:r>
              <m:t xml:space="preserve">1</m:t>
            </m:r>
          </m:num>
          <m:den>
            <m:rad>
              <m:radPr>
                <m:degHide m:val="1"/>
              </m:radPr>
              <m:deg/>
              <m:e>
                <m:r>
                  <m:t xml:space="preserve">2</m:t>
                </m:r>
              </m:e>
            </m:rad>
          </m:den>
        </m:f>
      </m:oMath>
      <w:r>
        <w:rPr/>
        <w:t>), while remaining symmetric. There are two fundamentally different approaches to improving estimation efficiency: the parametric MLE-TN, which jointly estimates all parameters and achieves the Cramer-Rao bound under correct specification, and the semi-parametric PMM3, which utilizes only sample moments without requiring prior knowledge of the distribution's functional form [5].</w:t>
      </w:r>
    </w:p>
    <w:p>
      <w:pPr>
        <w:pStyle w:val="Normal"/>
        <w:ind w:firstLine="567"/>
        <w:jc w:val="both"/>
        <w:rPr/>
      </w:pPr>
      <w:r>
        <w:rPr>
          <w:b/>
          <w:bCs/>
        </w:rPr>
        <w:t>Problem Statement.</w:t>
      </w:r>
      <w:r>
        <w:rPr/>
        <w:t xml:space="preserve"> Despite existing research on the use of PMM3 for general symmetric distributions [6, </w:t>
      </w:r>
      <w:r>
        <w:rPr/>
        <w:t>7</w:t>
      </w:r>
      <w:r>
        <w:rPr/>
        <w:t>] and MLE-TN [4], a systematic direct comparison between PMM3 and MLE-TN within the framework of the TN model has not yet been conducted. The TN distribution differs from previously studied distributions in that its cumulants are analytically known and precise, allowing for the parametric application of MLE-TN, which reaches the Cramer-Rao bound.</w:t>
      </w:r>
    </w:p>
    <w:p>
      <w:pPr>
        <w:pStyle w:val="Normal"/>
        <w:ind w:firstLine="567"/>
        <w:jc w:val="both"/>
        <w:rPr/>
      </w:pPr>
      <w:r>
        <w:rPr>
          <w:b/>
          <w:bCs/>
        </w:rPr>
        <w:t>The aim of this work</w:t>
      </w:r>
      <w:r>
        <w:rPr/>
        <w:t xml:space="preserve"> is to conduct a theoretical and Monte Carlo comparison of three linear regression parameter estimation methods (OLS, PMM3, and MLE-TN) under TN-distributed errors, explore their robustness against misspecification, and determine the empirical efficiency threshold for PMM3.</w:t>
      </w:r>
    </w:p>
    <w:p>
      <w:pPr>
        <w:pStyle w:val="Normal"/>
        <w:ind w:firstLine="567"/>
        <w:jc w:val="both"/>
        <w:rPr/>
      </w:pPr>
      <w:r>
        <w:rPr>
          <w:b/>
          <w:bCs/>
        </w:rPr>
        <w:t>Solving the problem.</w:t>
      </w:r>
      <w:r>
        <w:rPr/>
        <w:t xml:space="preserve"> This study considers a linear regression model:</w:t>
      </w:r>
    </w:p>
    <w:p>
      <w:pPr>
        <w:pStyle w:val="Normal"/>
        <w:spacing w:before="240" w:after="240"/>
        <w:ind w:firstLine="567"/>
        <w:jc w:val="end"/>
        <w:rPr/>
      </w:pPr>
      <w:r>
        <w:rPr/>
      </w:r>
      <m:oMath xmlns:m="http://schemas.openxmlformats.org/officeDocument/2006/math">
        <m:sSub>
          <m:e>
            <m:r>
              <m:t xml:space="preserve">y</m:t>
            </m:r>
          </m:e>
          <m:sub>
            <m:r>
              <m:t xml:space="preserve">v</m:t>
            </m:r>
          </m:sub>
        </m:sSub>
        <m:r>
          <m:rPr>
            <m:lit/>
            <m:nor/>
          </m:rPr>
          <m:t xml:space="preserve"> </m:t>
        </m:r>
        <m:r>
          <m:rPr>
            <m:lit/>
            <m:nor/>
          </m:rPr>
          <m:t xml:space="preserve">=</m:t>
        </m:r>
        <m:r>
          <m:rPr>
            <m:lit/>
            <m:nor/>
          </m:rPr>
          <m:t xml:space="preserve"> </m:t>
        </m:r>
        <m:sSubSup>
          <m:e>
            <m:r>
              <m:t xml:space="preserve">x</m:t>
            </m:r>
          </m:e>
          <m:sub>
            <m:r>
              <m:t xml:space="preserve">v</m:t>
            </m:r>
          </m:sub>
          <m:sup>
            <m:r>
              <m:t xml:space="preserve">T</m:t>
            </m:r>
          </m:sup>
        </m:sSubSup>
        <m:r>
          <m:t xml:space="preserve">β</m:t>
        </m:r>
        <m:r>
          <m:rPr>
            <m:lit/>
            <m:nor/>
          </m:rPr>
          <m:t xml:space="preserve"> </m:t>
        </m:r>
        <m:r>
          <m:rPr>
            <m:lit/>
            <m:nor/>
          </m:rPr>
          <m:t xml:space="preserve">+</m:t>
        </m:r>
        <m:r>
          <m:rPr>
            <m:lit/>
            <m:nor/>
          </m:rPr>
          <m:t xml:space="preserve"> </m:t>
        </m:r>
        <m:sSub>
          <m:e>
            <m:r>
              <m:t xml:space="preserve">ε</m:t>
            </m:r>
          </m:e>
          <m:sub>
            <m:r>
              <m:t xml:space="preserve">v</m:t>
            </m:r>
          </m:sub>
        </m:sSub>
      </m:oMath>
      <w:r>
        <w:rPr/>
        <w:t>,</w:t>
        <w:tab/>
        <w:tab/>
        <w:tab/>
        <w:tab/>
        <w:tab/>
        <w:t>(1)</w:t>
      </w:r>
    </w:p>
    <w:p>
      <w:pPr>
        <w:pStyle w:val="Normal"/>
        <w:ind w:hanging="0" w:start="0"/>
        <w:jc w:val="both"/>
        <w:rPr/>
      </w:pPr>
      <w:r>
        <w:rPr/>
        <w:t xml:space="preserve">where </w:t>
      </w:r>
      <w:r>
        <w:rPr>
          <w:i/>
          <w:iCs/>
        </w:rPr>
        <w:t>ε</w:t>
      </w:r>
      <w:r>
        <w:rPr>
          <w:i/>
          <w:iCs/>
          <w:vertAlign w:val="subscript"/>
        </w:rPr>
        <w:t>v</w:t>
      </w:r>
      <w:r>
        <w:rPr/>
        <w:t xml:space="preserve"> are independent and identically distributed errors.</w:t>
      </w:r>
    </w:p>
    <w:p>
      <w:pPr>
        <w:pStyle w:val="Normal"/>
        <w:ind w:firstLine="567"/>
        <w:jc w:val="both"/>
        <w:rPr/>
      </w:pPr>
      <w:r>
        <w:rPr/>
        <w:t xml:space="preserve">PMM3 estimates only the </w:t>
      </w:r>
      <w:r>
        <w:rPr>
          <w:i/>
          <w:iCs/>
        </w:rPr>
        <w:t>p</w:t>
      </w:r>
      <w:r>
        <w:rPr/>
        <w:t>-dimensional vector parameter</w:t>
      </w:r>
      <w:r>
        <w:rPr>
          <w:i/>
          <w:iCs/>
        </w:rPr>
        <w:t xml:space="preserve"> β</w:t>
      </w:r>
      <w:r>
        <w:rPr/>
        <w:t>, applying adjustments based on the posterior moments of OLS residuals using the Newton-Raphson iterative refinement algorithm. In this case, the theoretical efficiency coefficient is given by:</w:t>
      </w:r>
    </w:p>
    <w:p>
      <w:pPr>
        <w:pStyle w:val="Normal"/>
        <w:spacing w:before="240" w:after="240"/>
        <w:ind w:firstLine="567"/>
        <w:jc w:val="end"/>
        <w:rPr/>
      </w:pPr>
      <w:r>
        <w:rPr/>
      </w:r>
      <m:oMath xmlns:m="http://schemas.openxmlformats.org/officeDocument/2006/math">
        <m:sSub>
          <m:e>
            <m:r>
              <m:t xml:space="preserve">g</m:t>
            </m:r>
          </m:e>
          <m:sub>
            <m:r>
              <m:t xml:space="preserve">3</m:t>
            </m:r>
          </m:sub>
        </m:sSub>
        <m:r>
          <m:rPr>
            <m:lit/>
            <m:nor/>
          </m:rPr>
          <m:t xml:space="preserve"> </m:t>
        </m:r>
        <m:r>
          <m:rPr>
            <m:lit/>
            <m:nor/>
          </m:rPr>
          <m:t xml:space="preserve">=</m:t>
        </m:r>
        <m:r>
          <m:rPr>
            <m:lit/>
            <m:nor/>
          </m:rPr>
          <m:t xml:space="preserve"> </m:t>
        </m:r>
        <m:r>
          <m:t xml:space="preserve">1</m:t>
        </m:r>
        <m:r>
          <m:rPr>
            <m:lit/>
            <m:nor/>
          </m:rPr>
          <m:t xml:space="preserve">-</m:t>
        </m:r>
        <m:f>
          <m:num>
            <m:sSubSup>
              <m:e>
                <m:r>
                  <m:t xml:space="preserve">γ</m:t>
                </m:r>
              </m:e>
              <m:sub>
                <m:r>
                  <m:t xml:space="preserve">4</m:t>
                </m:r>
              </m:sub>
              <m:sup>
                <m:r>
                  <m:t xml:space="preserve">2</m:t>
                </m:r>
              </m:sup>
            </m:sSubSup>
          </m:num>
          <m:den>
            <m:r>
              <m:t xml:space="preserve">6</m:t>
            </m:r>
            <m:r>
              <m:rPr>
                <m:lit/>
                <m:nor/>
              </m:rPr>
              <m:t xml:space="preserve"> </m:t>
            </m:r>
            <m:r>
              <m:rPr>
                <m:lit/>
                <m:nor/>
              </m:rPr>
              <m:t xml:space="preserve">+</m:t>
            </m:r>
            <m:r>
              <m:rPr>
                <m:lit/>
                <m:nor/>
              </m:rPr>
              <m:t xml:space="preserve"> </m:t>
            </m:r>
            <m:r>
              <m:t xml:space="preserve">9</m:t>
            </m:r>
            <m:sSub>
              <m:e>
                <m:r>
                  <m:t xml:space="preserve">γ</m:t>
                </m:r>
              </m:e>
              <m:sub>
                <m:r>
                  <m:t xml:space="preserve">4</m:t>
                </m:r>
              </m:sub>
            </m:sSub>
            <m:r>
              <m:rPr>
                <m:lit/>
                <m:nor/>
              </m:rPr>
              <m:t xml:space="preserve"> </m:t>
            </m:r>
            <m:r>
              <m:rPr>
                <m:lit/>
                <m:nor/>
              </m:rPr>
              <m:t xml:space="preserve">+</m:t>
            </m:r>
            <m:r>
              <m:rPr>
                <m:lit/>
                <m:nor/>
              </m:rPr>
              <m:t xml:space="preserve"> </m:t>
            </m:r>
            <m:sSub>
              <m:e>
                <m:r>
                  <m:t xml:space="preserve">γ</m:t>
                </m:r>
              </m:e>
              <m:sub>
                <m:r>
                  <m:t xml:space="preserve">6</m:t>
                </m:r>
              </m:sub>
            </m:sSub>
          </m:den>
        </m:f>
        <m:r>
          <m:rPr>
            <m:lit/>
            <m:nor/>
          </m:rPr>
          <m:t xml:space="preserve"> </m:t>
        </m:r>
      </m:oMath>
      <w:r>
        <w:rPr/>
        <w:t>,</w:t>
        <w:tab/>
        <w:tab/>
        <w:tab/>
        <w:tab/>
        <w:tab/>
        <w:tab/>
        <w:t>(2)</w:t>
      </w:r>
    </w:p>
    <w:p>
      <w:pPr>
        <w:pStyle w:val="Normal"/>
        <w:ind w:hanging="0" w:start="0"/>
        <w:jc w:val="both"/>
        <w:rPr/>
      </w:pPr>
      <w:r>
        <w:rPr/>
        <w:t xml:space="preserve">where </w:t>
      </w:r>
      <w:r>
        <w:rPr>
          <w:i/>
          <w:iCs/>
        </w:rPr>
        <w:t>γ</w:t>
      </w:r>
      <w:r>
        <w:rPr>
          <w:i/>
          <w:iCs/>
          <w:vertAlign w:val="subscript"/>
        </w:rPr>
        <w:t>4</w:t>
      </w:r>
      <w:r>
        <w:rPr/>
        <w:t xml:space="preserve"> and </w:t>
      </w:r>
      <w:r>
        <w:rPr>
          <w:i/>
          <w:iCs/>
        </w:rPr>
        <w:t>γ</w:t>
      </w:r>
      <w:r>
        <w:rPr>
          <w:i/>
          <w:iCs/>
          <w:vertAlign w:val="subscript"/>
        </w:rPr>
        <w:t>6</w:t>
      </w:r>
      <w:r>
        <w:rPr/>
        <w:t xml:space="preserve"> are fourth and sixth-order cumulant coefficients [5].</w:t>
      </w:r>
    </w:p>
    <w:p>
      <w:pPr>
        <w:pStyle w:val="Normal"/>
        <w:ind w:firstLine="567"/>
        <w:jc w:val="both"/>
        <w:rPr/>
      </w:pPr>
      <w:r>
        <w:rPr/>
        <w:t xml:space="preserve">Monte Carlo simulation was conducted with </w:t>
      </w:r>
      <w:r>
        <w:rPr>
          <w:i/>
          <w:iCs/>
        </w:rPr>
        <w:t>M</w:t>
      </w:r>
      <w:r>
        <w:rPr/>
        <w:t xml:space="preserve">=500 replications for sample sizes </w:t>
      </w:r>
      <w:r>
        <w:rPr>
          <w:i/>
          <w:iCs/>
        </w:rPr>
        <w:t>n</w:t>
      </w:r>
      <w:r>
        <w:rPr/>
        <w:t> </w:t>
      </w:r>
      <w:r>
        <w:rPr>
          <w:rFonts w:cs="Cambria Math" w:ascii="Cambria Math" w:hAnsi="Cambria Math"/>
        </w:rPr>
        <w:t>∈</w:t>
      </w:r>
      <w:r>
        <w:rPr/>
        <w:t xml:space="preserve">{46, 100, 200, 500} with parameter </w:t>
      </w:r>
      <w:r>
        <w:rPr>
          <w:i/>
          <w:iCs/>
        </w:rPr>
        <w:t>λ</w:t>
      </w:r>
      <w:r>
        <w:rPr/>
        <w:t> </w:t>
      </w:r>
      <w:r>
        <w:rPr>
          <w:rFonts w:cs="Cambria Math" w:ascii="Cambria Math" w:hAnsi="Cambria Math"/>
        </w:rPr>
        <w:t>∈</w:t>
      </w:r>
      <w:r>
        <w:rPr/>
        <w:t xml:space="preserve">{0,5; 1,0; 1,5; 2,0; 3,0; 5,0}. The results showed that PMM3 significantly outperforms OLS for </w:t>
      </w:r>
      <w:r>
        <w:rPr>
          <w:i/>
          <w:iCs/>
        </w:rPr>
        <w:t>λ</w:t>
      </w:r>
      <w:r>
        <w:rPr/>
        <w:t xml:space="preserve"> ≥ 1,5, with a relative variance reduction factor (VRF) of the estimates ranging from 1.5 to 23.8. The empirical coefficient </w:t>
      </w:r>
      <w:r>
        <w:rPr>
          <w:i/>
          <w:iCs/>
        </w:rPr>
        <w:t>g̃</w:t>
      </w:r>
      <w:r>
        <w:rPr>
          <w:i/>
          <w:iCs/>
          <w:vertAlign w:val="subscript"/>
        </w:rPr>
        <w:t>3</w:t>
      </w:r>
      <w:r>
        <w:rPr/>
        <w:t xml:space="preserve"> converges to the theoretical within an accuracy off ±10% at </w:t>
      </w:r>
      <w:r>
        <w:rPr>
          <w:i/>
          <w:iCs/>
        </w:rPr>
        <w:t>n</w:t>
      </w:r>
      <w:r>
        <w:rPr/>
        <w:t xml:space="preserve"> ≥ 100. MLE-TN is even more efficient than PMM3 under correct TN specification; however, it estimates </w:t>
      </w:r>
      <w:r>
        <w:rPr>
          <w:i/>
          <w:iCs/>
        </w:rPr>
        <w:t>p</w:t>
      </w:r>
      <w:r>
        <w:rPr/>
        <w:t xml:space="preserve">+2 parameters, which leads to overparameterization at small </w:t>
      </w:r>
      <w:r>
        <w:rPr>
          <w:i/>
          <w:iCs/>
        </w:rPr>
        <w:t>n</w:t>
      </w:r>
      <w:r>
        <w:rPr/>
        <w:t>.</w:t>
      </w:r>
    </w:p>
    <w:p>
      <w:pPr>
        <w:pStyle w:val="Normal"/>
        <w:ind w:firstLine="567"/>
        <w:jc w:val="both"/>
        <w:rPr/>
      </w:pPr>
      <w:r>
        <w:rPr/>
        <w:t xml:space="preserve">Robustness analysis showed that under misspecification (uniform, triangular, logistic, and </w:t>
      </w:r>
      <w:r>
        <w:rPr>
          <w:i/>
          <w:iCs/>
        </w:rPr>
        <w:t>t</w:t>
      </w:r>
      <w:r>
        <w:rPr>
          <w:i/>
          <w:iCs/>
          <w:vertAlign w:val="subscript"/>
        </w:rPr>
        <w:t>10</w:t>
      </w:r>
      <w:r>
        <w:rPr/>
        <w:t xml:space="preserve"> distributions), PMM3 maintains a VRF≈1,0 of across all distributions, meaning it performs no worse than OLS even when assumptions are violated. In contrast, MLE-TN can perform worse than OLS (VRF=0,969 for the triangular distribution). The Newton-Raphson convergence for PMM3 reached 100% across all 24 Monte Carlo blocks, including bimodal TN cases (</w:t>
      </w:r>
      <w:r>
        <w:rPr>
          <w:i/>
          <w:iCs/>
        </w:rPr>
        <w:t>λ</w:t>
      </w:r>
      <w:r>
        <w:rPr/>
        <w:t>=3,5).</w:t>
      </w:r>
    </w:p>
    <w:p>
      <w:pPr>
        <w:pStyle w:val="Normal"/>
        <w:ind w:firstLine="567"/>
        <w:jc w:val="both"/>
        <w:rPr/>
      </w:pPr>
      <w:r>
        <w:rPr/>
        <w:t xml:space="preserve">On real-world data (Iris versicolor, </w:t>
      </w:r>
      <w:r>
        <w:rPr>
          <w:i/>
          <w:iCs/>
        </w:rPr>
        <w:t>n</w:t>
      </w:r>
      <w:r>
        <w:rPr/>
        <w:t xml:space="preserve"> = 50, </w:t>
      </w:r>
      <w:r>
        <w:rPr/>
      </w:r>
      <m:oMath xmlns:m="http://schemas.openxmlformats.org/officeDocument/2006/math">
        <m:sSub>
          <m:e>
            <m:acc>
              <m:accPr>
                <m:chr m:val="^"/>
              </m:accPr>
              <m:e>
                <m:r>
                  <m:t xml:space="preserve">γ</m:t>
                </m:r>
              </m:e>
            </m:acc>
          </m:e>
          <m:sub>
            <m:r>
              <m:t xml:space="preserve">4</m:t>
            </m:r>
          </m:sub>
        </m:sSub>
      </m:oMath>
      <w:r>
        <w:rPr/>
        <w:t xml:space="preserve">=–0,966), PMM3 is the best performer according to both criteria: LOO-MSE=0,2022 (OLS: 0,2070; MLE-TN: 0,2109), with a bootstrap </w:t>
      </w:r>
      <w:r>
        <w:rPr>
          <w:i/>
          <w:iCs/>
        </w:rPr>
        <w:t>g̃</w:t>
      </w:r>
      <w:r>
        <w:rPr>
          <w:i/>
          <w:iCs/>
          <w:vertAlign w:val="subscript"/>
        </w:rPr>
        <w:t>3</w:t>
      </w:r>
      <w:r>
        <w:rPr>
          <w:vertAlign w:val="subscript"/>
        </w:rPr>
        <w:t xml:space="preserve"> </w:t>
      </w:r>
      <w:r>
        <w:rPr/>
        <w:t xml:space="preserve">= 0,570 (a 43% reduction in variance). MLE-TN proved to be the worst-performing method due to overparameterization at small sample size. The empirical efficiency threshold for PMM3, confirmed across seven datasets, is </w:t>
      </w:r>
      <w:r>
        <w:rPr>
          <w:i/>
          <w:iCs/>
        </w:rPr>
        <w:t>γ</w:t>
      </w:r>
      <w:r>
        <w:rPr>
          <w:i/>
          <w:iCs/>
          <w:vertAlign w:val="subscript"/>
        </w:rPr>
        <w:t>4</w:t>
      </w:r>
      <w:r>
        <w:rPr/>
        <w:t>≲–0,7.</w:t>
      </w:r>
    </w:p>
    <w:p>
      <w:pPr>
        <w:pStyle w:val="Normal"/>
        <w:tabs>
          <w:tab w:val="left" w:pos="720" w:leader="none"/>
        </w:tabs>
        <w:ind w:firstLine="567"/>
        <w:jc w:val="both"/>
        <w:rPr/>
      </w:pPr>
      <w:r>
        <w:rPr>
          <w:b/>
          <w:bCs/>
        </w:rPr>
        <w:t>Conclusions.</w:t>
      </w:r>
      <w:r>
        <w:rPr/>
        <w:t xml:space="preserve"> Summarizing the research and results obtained, the following key takeaways can be identified: 1) PMM3 provides a variance reduction ranging from 7% to 95.5% compared to OLS for TN-distributed errors</w:t>
      </w:r>
      <w:r>
        <w:rPr>
          <w:lang w:val="uk-UA"/>
        </w:rPr>
        <w:t xml:space="preserve">; 2) </w:t>
      </w:r>
      <w:r>
        <w:rPr/>
        <w:t>MLE-TN is significantly more efficient under correct specification and large sample sizes but remains unstable under misspecification</w:t>
      </w:r>
      <w:r>
        <w:rPr>
          <w:lang w:val="uk-UA"/>
        </w:rPr>
        <w:t xml:space="preserve">; 3) </w:t>
      </w:r>
      <w:r>
        <w:rPr/>
        <w:t>PMM3 is robust (VRF≈1,0 for any symmetric distribution), making it a safe choice when the distributional form is uncertain</w:t>
      </w:r>
      <w:r>
        <w:rPr>
          <w:lang w:val="uk-UA"/>
        </w:rPr>
        <w:t xml:space="preserve">; 4) </w:t>
      </w:r>
      <w:r>
        <w:rPr/>
        <w:t xml:space="preserve">practical threshold: PMM3 is recommended when </w:t>
      </w:r>
      <w:r>
        <w:rPr>
          <w:i/>
          <w:iCs/>
        </w:rPr>
        <w:t>γ</w:t>
      </w:r>
      <w:r>
        <w:rPr>
          <w:i/>
          <w:iCs/>
          <w:vertAlign w:val="subscript"/>
        </w:rPr>
        <w:t>4</w:t>
      </w:r>
      <w:r>
        <w:rPr>
          <w:rFonts w:cs="Cambria Math" w:ascii="Cambria Math" w:hAnsi="Cambria Math"/>
        </w:rPr>
        <w:t>≲</w:t>
      </w:r>
      <w:r>
        <w:rPr>
          <w:rFonts w:cs="Cambria Math" w:ascii="Cambria Math" w:hAnsi="Cambria Math"/>
          <w:lang w:val="uk-UA"/>
        </w:rPr>
        <w:t>–</w:t>
      </w:r>
      <w:r>
        <w:rPr/>
        <w:t xml:space="preserve">0,7; for </w:t>
      </w:r>
      <w:r>
        <w:rPr>
          <w:i/>
          <w:iCs/>
        </w:rPr>
        <w:t>γ</w:t>
      </w:r>
      <w:r>
        <w:rPr>
          <w:i/>
          <w:iCs/>
          <w:vertAlign w:val="subscript"/>
        </w:rPr>
        <w:t>4</w:t>
      </w:r>
      <w:r>
        <w:rPr>
          <w:vertAlign w:val="subscript"/>
        </w:rPr>
        <w:t xml:space="preserve"> </w:t>
      </w:r>
      <w:r>
        <w:rPr/>
        <w:t>&gt;–0,7, all methods are practically equivalent to OLS.</w:t>
      </w:r>
    </w:p>
    <w:p>
      <w:pPr>
        <w:pStyle w:val="Normal"/>
        <w:spacing w:before="120" w:after="0"/>
        <w:jc w:val="center"/>
        <w:rPr/>
      </w:pPr>
      <w:r>
        <w:rPr>
          <w:b/>
          <w:bCs/>
        </w:rPr>
        <w:t>References</w:t>
      </w:r>
    </w:p>
    <w:p>
      <w:pPr>
        <w:pStyle w:val="Normal"/>
        <w:ind w:firstLine="567"/>
        <w:jc w:val="both"/>
        <w:rPr/>
      </w:pPr>
      <w:r>
        <w:rPr/>
        <w:t>1. Tiku, M. L., Islam, M. Q., &amp; Selçuk, A. S. (2001). Non-normal regression. II. Symmetric distributions. Communications in Statistics: Theory and Methods, 30(6), pp. 1021–1045.</w:t>
      </w:r>
    </w:p>
    <w:p>
      <w:pPr>
        <w:pStyle w:val="Normal"/>
        <w:ind w:firstLine="567"/>
        <w:jc w:val="both"/>
        <w:rPr/>
      </w:pPr>
      <w:r>
        <w:rPr/>
        <w:t>2. Johnson, N. L., Kotz, S., &amp; Balakrishnan, N. (1994). Continuous univariate distributions (Vol. 1). Wiley. 784 p.</w:t>
      </w:r>
    </w:p>
    <w:p>
      <w:pPr>
        <w:pStyle w:val="Normal"/>
        <w:ind w:firstLine="567"/>
        <w:jc w:val="both"/>
        <w:rPr/>
      </w:pPr>
      <w:r>
        <w:rPr/>
        <w:t>3. John, S. (1982). The three-parameter two-piece noral family of distributions and its fitting. Communications in Statistics: Theory and Methods, 11(8), pp. 879–885.</w:t>
      </w:r>
    </w:p>
    <w:p>
      <w:pPr>
        <w:pStyle w:val="Normal"/>
        <w:ind w:firstLine="567"/>
        <w:jc w:val="both"/>
        <w:rPr/>
      </w:pPr>
      <w:r>
        <w:rPr/>
        <w:t>4. Salinas, H., Bakouch, H., Qarmalah, N., &amp; Martínez-Flórez, G. (2023). A flexible class of two-piece normal distribution with a regression illustration to biaxial fatigue data. Mathematics, 11(5), pp. 1-14.</w:t>
      </w:r>
    </w:p>
    <w:p>
      <w:pPr>
        <w:pStyle w:val="Normal"/>
        <w:ind w:firstLine="567"/>
        <w:jc w:val="both"/>
        <w:rPr/>
      </w:pPr>
      <w:r>
        <w:rPr/>
        <w:t>5. Kunchenko, Y. P. (2002). Polynomial parameter estimations of close to Gaussian random variables. Shaker Verlag. 396 p.</w:t>
      </w:r>
    </w:p>
    <w:p>
      <w:pPr>
        <w:pStyle w:val="Normal"/>
        <w:ind w:firstLine="567"/>
        <w:jc w:val="both"/>
        <w:rPr/>
      </w:pPr>
      <w:r>
        <w:rPr/>
        <w:t>6</w:t>
      </w:r>
      <w:r>
        <w:rPr/>
        <w:t>. Zabolotnii, S.W., Warsza, Z.L., Tkachenko, O. (2020). Estimation of Linear Regression Parameters of Symmetric Non-Gaussian Errors by Polynomial Maximization Method. In: Szewczyk, R., Zieliński, C., Kaliczyńska, M. (eds) Automation 2019. AUTOMATION 2019. Advances in Intelligent Systems and Computing, vol 920. Springer, Cham. https://doi.org/10.1007/978-3-030-13273-6_59</w:t>
      </w:r>
    </w:p>
    <w:p>
      <w:pPr>
        <w:pStyle w:val="Normal"/>
        <w:ind w:firstLine="567"/>
        <w:jc w:val="both"/>
        <w:rPr/>
      </w:pPr>
      <w:r>
        <w:rPr/>
        <w:t>7. Zabolotnii, S., Khotunov, V., Chepynoha, A., &amp; Tkachenko, O. (2021). Estimating parameters of linear regression with an exponential power distribution of errors by using a polynomial maximization method . Eastern-European Journal of Enterprise Technologies, 1(4 (109), 64–73. https://doi.org/10.15587/1729-4061.2021.225525 </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uk-UA"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uk-UA"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uk-UA"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4"/>
      <w:szCs w:val="24"/>
      <w:lang w:val="uk-UA"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4"/>
      <w:szCs w:val="24"/>
      <w:lang w:val="uk-UA"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4"/>
      <w:szCs w:val="24"/>
      <w:lang w:val="uk-UA"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Текст виноски Знак"/>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Текст кінцевої виноски Знак"/>
    <w:link w:val="EndnoteText"/>
    <w:uiPriority w:val="99"/>
    <w:semiHidden/>
    <w:unhideWhenUsed/>
    <w:qFormat/>
    <w:rPr>
      <w:sz w:val="20"/>
      <w:szCs w:val="20"/>
    </w:rPr>
  </w:style>
  <w:style w:type="character" w:styleId="PlaceholderText">
    <w:name w:val="Placeholder Text"/>
    <w:basedOn w:val="DefaultParagraphFont"/>
    <w:uiPriority w:val="99"/>
    <w:semiHidden/>
    <w:qFormat/>
    <w:rsid w:val="00de5b6d"/>
    <w:rPr>
      <w:color w:val="66666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uk-UA"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4"/>
      <w:szCs w:val="24"/>
      <w:lang w:val="uk-UA"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uk-UA" w:eastAsia="en-US" w:bidi="ar-SA"/>
    </w:rPr>
  </w:style>
  <w:style w:type="paragraph" w:styleId="FootnoteText">
    <w:name w:val="footnote text"/>
    <w:link w:val="Style8"/>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uk-UA" w:eastAsia="en-US" w:bidi="ar-SA"/>
    </w:rPr>
  </w:style>
  <w:style w:type="paragraph" w:styleId="EndnoteText">
    <w:name w:val="endnote text"/>
    <w:link w:val="Style9"/>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uk-UA" w:eastAsia="en-US" w:bidi="ar-SA"/>
    </w:rPr>
  </w:style>
  <w:style w:type="paragraph" w:styleId="NormalWeb">
    <w:name w:val="Normal (Web)"/>
    <w:basedOn w:val="Normal"/>
    <w:uiPriority w:val="99"/>
    <w:semiHidden/>
    <w:unhideWhenUsed/>
    <w:qFormat/>
    <w:rsid w:val="005a22d4"/>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355</TotalTime>
  <Application>LibreOffice/26.2.2.2$MacOSX_AARCH64 LibreOffice_project/1f77d10d6938fd34972958f64b2bcfa54f8b1ba5</Application>
  <AppVersion>15.0000</AppVersion>
  <Pages>2</Pages>
  <Words>1028</Words>
  <Characters>6303</Characters>
  <CharactersWithSpaces>7303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2026-04-15T16:35:00Z</dcterms:created>
  <dc:creator>Un-named</dc:creator>
  <dc:description/>
  <dc:language>uk-UA</dc:language>
  <cp:lastModifiedBy/>
  <dcterms:modified xsi:type="dcterms:W3CDTF">2026-04-19T21:40:14Z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