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035B4" w:rsidRDefault="00890CDD">
      <w:pPr>
        <w:spacing w:after="40"/>
        <w:jc w:val="center"/>
      </w:pPr>
      <w:r>
        <w:rPr>
          <w:b/>
          <w:sz w:val="22"/>
        </w:rPr>
        <w:t>ITSAR2 313 – SYSTEM INTEGRATION AND ARCHITECTURE 2</w:t>
      </w:r>
    </w:p>
    <w:p w:rsidR="00E035B4" w:rsidRDefault="00890CDD">
      <w:pPr>
        <w:spacing w:after="400"/>
        <w:jc w:val="center"/>
      </w:pPr>
      <w:r>
        <w:rPr>
          <w:i/>
        </w:rPr>
        <w:t>by: Engr. Joao Roumil G. Vergara, CpE</w:t>
      </w:r>
    </w:p>
    <w:p w:rsidR="00E035B4" w:rsidRDefault="00890CDD">
      <w:pPr>
        <w:jc w:val="center"/>
      </w:pPr>
      <w:r>
        <w:rPr>
          <w:color w:val="999999"/>
          <w:sz w:val="18"/>
        </w:rPr>
        <w:t>────────────────────────────────────────────────────────────</w:t>
      </w:r>
    </w:p>
    <w:p w:rsidR="00E035B4" w:rsidRDefault="00890CDD">
      <w:pPr>
        <w:spacing w:before="320" w:after="320"/>
        <w:jc w:val="center"/>
      </w:pPr>
      <w:r>
        <w:rPr>
          <w:b/>
          <w:sz w:val="22"/>
        </w:rPr>
        <w:t>LABORATORY REPORT: EXERCISE 1 — MONOLITH VS MICROSERVICE</w:t>
      </w:r>
    </w:p>
    <w:p w:rsidR="00E035B4" w:rsidRDefault="00FE1E05">
      <w:pPr>
        <w:spacing w:after="40"/>
        <w:jc w:val="center"/>
      </w:pPr>
      <w:r>
        <w:t>Sagum, Patrick Ruiz</w:t>
      </w:r>
      <w:bookmarkStart w:id="0" w:name="_GoBack"/>
      <w:bookmarkEnd w:id="0"/>
    </w:p>
    <w:p w:rsidR="00E035B4" w:rsidRDefault="00890CDD">
      <w:pPr>
        <w:spacing w:after="40"/>
        <w:jc w:val="center"/>
      </w:pPr>
      <w:r>
        <w:t xml:space="preserve">Henson, Princess Terana Caram </w:t>
      </w:r>
      <w:r>
        <w:t>Rasonable</w:t>
      </w:r>
    </w:p>
    <w:p w:rsidR="00E035B4" w:rsidRDefault="00890CDD">
      <w:pPr>
        <w:spacing w:after="40"/>
        <w:jc w:val="center"/>
      </w:pPr>
      <w:r>
        <w:t>Gargarita, Trisha Faith Casiano</w:t>
      </w:r>
    </w:p>
    <w:p w:rsidR="00E035B4" w:rsidRDefault="00890CDD">
      <w:pPr>
        <w:spacing w:after="40"/>
        <w:jc w:val="center"/>
      </w:pPr>
      <w:r>
        <w:t>Mogat, Ela Mae Trojillo</w:t>
      </w:r>
    </w:p>
    <w:p w:rsidR="00E035B4" w:rsidRDefault="00890CDD">
      <w:pPr>
        <w:spacing w:after="40"/>
        <w:jc w:val="center"/>
      </w:pPr>
      <w:r>
        <w:t>Tibo-oc, Paul Felippe Gelle</w:t>
      </w:r>
    </w:p>
    <w:p w:rsidR="00E035B4" w:rsidRDefault="00E035B4">
      <w:pPr>
        <w:spacing w:after="120"/>
        <w:jc w:val="center"/>
      </w:pPr>
    </w:p>
    <w:p w:rsidR="00E035B4" w:rsidRDefault="00890CDD">
      <w:pPr>
        <w:spacing w:after="400"/>
        <w:jc w:val="center"/>
      </w:pPr>
      <w:r>
        <w:rPr>
          <w:i/>
        </w:rPr>
        <w:t>Information Technology, College of Computer Studies</w:t>
      </w:r>
      <w:r>
        <w:rPr>
          <w:i/>
        </w:rPr>
        <w:br/>
        <w:t>Carlos Hilado Memorial State University</w:t>
      </w:r>
    </w:p>
    <w:p w:rsidR="00E035B4" w:rsidRDefault="00890CDD">
      <w:pPr>
        <w:jc w:val="center"/>
      </w:pPr>
      <w:r>
        <w:rPr>
          <w:color w:val="999999"/>
          <w:sz w:val="18"/>
        </w:rPr>
        <w:t>────────────────────────────────────────────────────────────</w:t>
      </w:r>
    </w:p>
    <w:p w:rsidR="00E035B4" w:rsidRDefault="00890CDD">
      <w:pPr>
        <w:spacing w:before="280" w:after="160"/>
      </w:pPr>
      <w:r>
        <w:rPr>
          <w:b/>
          <w:sz w:val="22"/>
        </w:rPr>
        <w:t>Abstract</w:t>
      </w:r>
    </w:p>
    <w:p w:rsidR="00E035B4" w:rsidRDefault="00890CDD">
      <w:pPr>
        <w:spacing w:after="120"/>
        <w:jc w:val="both"/>
      </w:pPr>
      <w:r>
        <w:t>This laboratory exercise explores two fundamental software architecture paradigms—monolithic and microservices—by implementing a student course enrollment system called Academe using Laravel 10. The monolithic implementation follows the MVCR (Model–View–C</w:t>
      </w:r>
      <w:r>
        <w:t xml:space="preserve">ontroller–Repository) pattern with a single SQLite database, Eloquent ORM, and Blade server-side rendering. The microservices implementation decomposes the same functionality into three independent Laravel services—Student (port 8001), Course (port 8002), </w:t>
      </w:r>
      <w:r>
        <w:t>and Enrollment (port 8003)—each with its own database and REST API. An environment variable toggle (APP_BACKEND) allows the monolithic frontend to switch between local Eloquent repositories and remote HTTP service clients at runtime without modifying any c</w:t>
      </w:r>
      <w:r>
        <w:t xml:space="preserve">ontroller logic. The comparison reveals that while the monolithic architecture is simpler to develop, deploy, and debug for small teams and MVPs, the microservices architecture offers superior scalability, fault isolation, and team autonomy at the cost of </w:t>
      </w:r>
      <w:r>
        <w:t>distributed systems complexity. For a project of this scale, the monolithic MVCR pattern was the preferred architecture, with the Repository Pattern serving as the bridge that makes future decomposition possible.</w:t>
      </w:r>
    </w:p>
    <w:p w:rsidR="00E035B4" w:rsidRDefault="00890CDD">
      <w:pPr>
        <w:spacing w:before="280" w:after="160"/>
      </w:pPr>
      <w:r>
        <w:rPr>
          <w:b/>
          <w:sz w:val="22"/>
        </w:rPr>
        <w:t>I. INTRODUCTION</w:t>
      </w:r>
    </w:p>
    <w:p w:rsidR="00E035B4" w:rsidRDefault="00890CDD">
      <w:pPr>
        <w:spacing w:after="120"/>
        <w:jc w:val="both"/>
      </w:pPr>
      <w:r>
        <w:t xml:space="preserve">Monolithic architecture is </w:t>
      </w:r>
      <w:r>
        <w:t xml:space="preserve">the traditional approach to building software applications where all components—user interface, business logic, and data access—are tightly coupled within a single deployable unit. In a monolithic Laravel application, every request flows through a unified </w:t>
      </w:r>
      <w:r>
        <w:t xml:space="preserve">routing layer into controllers that interact with Eloquent models backed by a shared database. This architecture simplifies development, testing, and deployment because there is only one codebase, one process, and one database to manage. ACID transactions </w:t>
      </w:r>
      <w:r>
        <w:t xml:space="preserve">are trivial, debugging involves a single stack trace, and new developers can understand the entire system from a single repository. However, as the application grows, the monolith becomes increasingly difficult to scale horizontally, deploy independently, </w:t>
      </w:r>
      <w:r>
        <w:t>and maintain without coordinated releases.</w:t>
      </w:r>
    </w:p>
    <w:p w:rsidR="00E035B4" w:rsidRDefault="00890CDD">
      <w:pPr>
        <w:spacing w:after="120"/>
        <w:jc w:val="both"/>
      </w:pPr>
      <w:r>
        <w:lastRenderedPageBreak/>
        <w:t xml:space="preserve">Microservices architecture decomposes an application into small, independently deployable services that communicate over the network—typically via HTTP REST APIs. Each service owns its data, runs its own process, </w:t>
      </w:r>
      <w:r>
        <w:t>and can be developed, deployed, and scaled independently. This architectural style addresses the scaling limitations of monoliths by allowing teams to scale only the services under load, deploy changes without affecting unrelated features, and use differen</w:t>
      </w:r>
      <w:r>
        <w:t>t technology stacks per service if needed. The trade-off is increased operational complexity: distributed transactions, network latency, eventual consistency, and the need for service discovery, health checks, and distributed tracing.</w:t>
      </w:r>
    </w:p>
    <w:p w:rsidR="00E035B4" w:rsidRDefault="00890CDD">
      <w:pPr>
        <w:spacing w:after="120"/>
        <w:jc w:val="both"/>
      </w:pPr>
      <w:r>
        <w:t>The Repository Patter</w:t>
      </w:r>
      <w:r>
        <w:t>n extends the traditional MVC architecture into MVCR by introducing an abstraction layer between controllers and the data access layer. Controllers depend on repository interfaces rather than concrete implementations, enabling the service container to inje</w:t>
      </w:r>
      <w:r>
        <w:t xml:space="preserve">ct either an Eloquent repository (for monolithic mode) or an HTTP service client (for microservices mode) without changing a single line of controller code. Laravel's built-in service container and interface binding make this pattern particularly elegant. </w:t>
      </w:r>
      <w:r>
        <w:t>This exercise uses Laravel as the framework for both architectures because it natively supports the Repository Pattern through dependency injection, provides a robust HTTP client for inter-service communication, and includes Blade templating for server-sid</w:t>
      </w:r>
      <w:r>
        <w:t>e rendered views.</w:t>
      </w:r>
    </w:p>
    <w:p w:rsidR="00E035B4" w:rsidRDefault="00890CDD">
      <w:pPr>
        <w:spacing w:before="280" w:after="160"/>
      </w:pPr>
      <w:r>
        <w:rPr>
          <w:b/>
          <w:sz w:val="22"/>
        </w:rPr>
        <w:t>II. METHODOLOGY / IMPLEMENTATION</w:t>
      </w:r>
    </w:p>
    <w:p w:rsidR="00E035B4" w:rsidRDefault="00890CDD">
      <w:pPr>
        <w:spacing w:after="120"/>
        <w:jc w:val="both"/>
      </w:pPr>
      <w:r>
        <w:t>The monolithic implementation resides in the lab1/academe/ directory as a single Laravel 10 application. It follows the MVCR pattern: incoming HTTP requests are routed through routes/web.php to controllers</w:t>
      </w:r>
      <w:r>
        <w:t xml:space="preserve"> (StudentController, CourseController, EnrollmentController), which type-hint repository interfaces (StudentRepositoryInterface, CourseRepositoryInterface, EnrollmentRepositoryInterface). Laravel's service provider binds these interfaces to their Eloquent </w:t>
      </w:r>
      <w:r>
        <w:t xml:space="preserve">implementations at boot time. Each Eloquent repository interacts with its corresponding model (Student, Course, Enrollment), which maps to a single SQLite database. Form Request classes (StoreStudentRequest, StoreEnrollmentRequest) handle input validation </w:t>
      </w:r>
      <w:r>
        <w:t>before the controller executes, keeping controller methods focused on orchestration. The frontend uses Blade templates with a custom CSS design system—no external CSS framework—for a consistent, professional UI.</w:t>
      </w:r>
    </w:p>
    <w:p w:rsidR="00E035B4" w:rsidRDefault="00890CDD">
      <w:pPr>
        <w:spacing w:after="120"/>
        <w:jc w:val="both"/>
      </w:pPr>
      <w:r>
        <w:t>The microservices implementation consists of</w:t>
      </w:r>
      <w:r>
        <w:t xml:space="preserve"> three independent Laravel applications located in lab1/microservices/. The Student Service (port 8001) manages student records with its own students.sqlite database. The Course Service (port 8002) manages course records with courses.sqlite. The Enrollment</w:t>
      </w:r>
      <w:r>
        <w:t xml:space="preserve"> Service (port 8003) manages enrollment records with enrollments.sqlite and communicates with both the Student and Course services via HTTP to validate that referenced students and courses exist before creating an enrollment. Each service follows the same </w:t>
      </w:r>
      <w:r>
        <w:t>MVCR pattern internally: routes map to controllers, controllers use repository interfaces, and repositories interact with Eloquent models. The Enrollment Service wraps its HTTP calls in try/catch blocks to handle ConnectionException, distinguishing between</w:t>
      </w:r>
      <w:r>
        <w:t xml:space="preserve"> 503 (service unavailable) and 504 (gateway timeout) based on the exception message.</w:t>
      </w:r>
    </w:p>
    <w:p w:rsidR="00E035B4" w:rsidRDefault="00890CDD">
      <w:pPr>
        <w:spacing w:after="120"/>
        <w:jc w:val="both"/>
      </w:pPr>
      <w:r>
        <w:t>The environment switch mechanism is configured in config/backend.php, which reads the APP_BACKEND environment variable from .env. When set to 'monolithic', the service pro</w:t>
      </w:r>
      <w:r>
        <w:t>vider binds repository interfaces to Eloquent implementations. When set to 'microservices', controllers detect the mode at runtime and use HTTP service clients (StudentServiceClient, CourseServiceClient, EnrollmentServiceClient) to proxy requests to the re</w:t>
      </w:r>
      <w:r>
        <w:t>spective microservices. This switch is transparent to the Blade views—they receive the same data structures regardless of the backend mode. The topbar displays a mode badge (</w:t>
      </w:r>
      <w:r>
        <w:t>⬡</w:t>
      </w:r>
      <w:r>
        <w:t xml:space="preserve"> Monolithic or </w:t>
      </w:r>
      <w:r>
        <w:t>⬡</w:t>
      </w:r>
      <w:r>
        <w:t xml:space="preserve"> Microservices) so the user always knows which backend is active.</w:t>
      </w:r>
    </w:p>
    <w:p w:rsidR="00E035B4" w:rsidRDefault="00890CDD">
      <w:pPr>
        <w:spacing w:after="120"/>
        <w:jc w:val="both"/>
      </w:pPr>
      <w:r>
        <w:t>The architecture page (accessible via the /architecture route) dynamically reflects the current backend mode. It displays both monolithic and microservices architecture diagrams as inline SVGs, with the active architecture shown at full opacity and the in</w:t>
      </w:r>
      <w:r>
        <w:t>active one grayed out (opacity 0.35, grayscale filter). A color-</w:t>
      </w:r>
      <w:r>
        <w:lastRenderedPageBreak/>
        <w:t>coded callout card explains the current mode and how to switch. The comparison table highlights the active architecture's column with a tinted background.</w:t>
      </w:r>
    </w:p>
    <w:tbl>
      <w:tblPr>
        <w:tblW w:w="0" w:type="auto"/>
        <w:jc w:val="center"/>
        <w:tblLook w:val="04A0" w:firstRow="1" w:lastRow="0" w:firstColumn="1" w:lastColumn="0" w:noHBand="0" w:noVBand="1"/>
      </w:tblPr>
      <w:tblGrid>
        <w:gridCol w:w="7920"/>
      </w:tblGrid>
      <w:tr w:rsidR="00E035B4">
        <w:trPr>
          <w:jc w:val="center"/>
        </w:trPr>
        <w:tc>
          <w:tcPr>
            <w:tcW w:w="7920" w:type="dxa"/>
            <w:shd w:val="clear" w:color="auto" w:fill="F2F2F2"/>
          </w:tcPr>
          <w:p w:rsidR="00E035B4" w:rsidRDefault="00890CDD">
            <w:pPr>
              <w:spacing w:before="200"/>
              <w:jc w:val="center"/>
            </w:pPr>
            <w:r>
              <w:rPr>
                <w:b/>
                <w:sz w:val="18"/>
              </w:rPr>
              <w:t>[SCREENSHOT]</w:t>
            </w:r>
            <w:r>
              <w:rPr>
                <w:sz w:val="18"/>
              </w:rPr>
              <w:br/>
            </w:r>
            <w:r>
              <w:rPr>
                <w:color w:val="666666"/>
                <w:sz w:val="18"/>
              </w:rPr>
              <w:t xml:space="preserve">Caption: Monolithic app </w:t>
            </w:r>
            <w:r>
              <w:rPr>
                <w:color w:val="666666"/>
                <w:sz w:val="18"/>
              </w:rPr>
              <w:t>homepage running at localhost:8000</w:t>
            </w:r>
            <w:r>
              <w:rPr>
                <w:sz w:val="18"/>
              </w:rPr>
              <w:br/>
            </w:r>
            <w:r>
              <w:rPr>
                <w:i/>
                <w:color w:val="666666"/>
                <w:sz w:val="18"/>
              </w:rPr>
              <w:t>(Replace this box with an actual screenshot before submission)</w:t>
            </w:r>
          </w:p>
        </w:tc>
      </w:tr>
    </w:tbl>
    <w:p w:rsidR="00E035B4" w:rsidRDefault="00E035B4"/>
    <w:tbl>
      <w:tblPr>
        <w:tblW w:w="0" w:type="auto"/>
        <w:jc w:val="center"/>
        <w:tblLook w:val="04A0" w:firstRow="1" w:lastRow="0" w:firstColumn="1" w:lastColumn="0" w:noHBand="0" w:noVBand="1"/>
      </w:tblPr>
      <w:tblGrid>
        <w:gridCol w:w="7920"/>
      </w:tblGrid>
      <w:tr w:rsidR="00E035B4">
        <w:trPr>
          <w:jc w:val="center"/>
        </w:trPr>
        <w:tc>
          <w:tcPr>
            <w:tcW w:w="7920" w:type="dxa"/>
            <w:shd w:val="clear" w:color="auto" w:fill="F2F2F2"/>
          </w:tcPr>
          <w:p w:rsidR="00E035B4" w:rsidRDefault="00890CDD">
            <w:pPr>
              <w:spacing w:before="200"/>
              <w:jc w:val="center"/>
            </w:pPr>
            <w:r>
              <w:rPr>
                <w:b/>
                <w:sz w:val="18"/>
              </w:rPr>
              <w:t>[SCREENSHOT]</w:t>
            </w:r>
            <w:r>
              <w:rPr>
                <w:sz w:val="18"/>
              </w:rPr>
              <w:br/>
            </w:r>
            <w:r>
              <w:rPr>
                <w:color w:val="666666"/>
                <w:sz w:val="18"/>
              </w:rPr>
              <w:t>Caption: Microservices mode active — topbar badge showing '</w:t>
            </w:r>
            <w:r>
              <w:rPr>
                <w:color w:val="666666"/>
                <w:sz w:val="18"/>
              </w:rPr>
              <w:t>⬡</w:t>
            </w:r>
            <w:r>
              <w:rPr>
                <w:color w:val="666666"/>
                <w:sz w:val="18"/>
              </w:rPr>
              <w:t xml:space="preserve"> Microservices'</w:t>
            </w:r>
            <w:r>
              <w:rPr>
                <w:sz w:val="18"/>
              </w:rPr>
              <w:br/>
            </w:r>
            <w:r>
              <w:rPr>
                <w:i/>
                <w:color w:val="666666"/>
                <w:sz w:val="18"/>
              </w:rPr>
              <w:t>(Replace this box with an actual screenshot before submission)</w:t>
            </w:r>
          </w:p>
        </w:tc>
      </w:tr>
    </w:tbl>
    <w:p w:rsidR="00E035B4" w:rsidRDefault="00E035B4"/>
    <w:tbl>
      <w:tblPr>
        <w:tblW w:w="0" w:type="auto"/>
        <w:jc w:val="center"/>
        <w:tblLook w:val="04A0" w:firstRow="1" w:lastRow="0" w:firstColumn="1" w:lastColumn="0" w:noHBand="0" w:noVBand="1"/>
      </w:tblPr>
      <w:tblGrid>
        <w:gridCol w:w="7920"/>
      </w:tblGrid>
      <w:tr w:rsidR="00E035B4">
        <w:trPr>
          <w:jc w:val="center"/>
        </w:trPr>
        <w:tc>
          <w:tcPr>
            <w:tcW w:w="7920" w:type="dxa"/>
            <w:shd w:val="clear" w:color="auto" w:fill="F2F2F2"/>
          </w:tcPr>
          <w:p w:rsidR="00E035B4" w:rsidRDefault="00890CDD">
            <w:pPr>
              <w:spacing w:before="200"/>
              <w:jc w:val="center"/>
            </w:pPr>
            <w:r>
              <w:rPr>
                <w:b/>
                <w:sz w:val="18"/>
              </w:rPr>
              <w:t>[S</w:t>
            </w:r>
            <w:r>
              <w:rPr>
                <w:b/>
                <w:sz w:val="18"/>
              </w:rPr>
              <w:t>CREENSHOT]</w:t>
            </w:r>
            <w:r>
              <w:rPr>
                <w:sz w:val="18"/>
              </w:rPr>
              <w:br/>
            </w:r>
            <w:r>
              <w:rPr>
                <w:color w:val="666666"/>
                <w:sz w:val="18"/>
              </w:rPr>
              <w:t>Caption: Students list page with CRUD operations visible</w:t>
            </w:r>
            <w:r>
              <w:rPr>
                <w:sz w:val="18"/>
              </w:rPr>
              <w:br/>
            </w:r>
            <w:r>
              <w:rPr>
                <w:i/>
                <w:color w:val="666666"/>
                <w:sz w:val="18"/>
              </w:rPr>
              <w:t>(Replace this box with an actual screenshot before submission)</w:t>
            </w:r>
          </w:p>
        </w:tc>
      </w:tr>
    </w:tbl>
    <w:p w:rsidR="00E035B4" w:rsidRDefault="00E035B4"/>
    <w:tbl>
      <w:tblPr>
        <w:tblW w:w="0" w:type="auto"/>
        <w:jc w:val="center"/>
        <w:tblLook w:val="04A0" w:firstRow="1" w:lastRow="0" w:firstColumn="1" w:lastColumn="0" w:noHBand="0" w:noVBand="1"/>
      </w:tblPr>
      <w:tblGrid>
        <w:gridCol w:w="7920"/>
      </w:tblGrid>
      <w:tr w:rsidR="00E035B4">
        <w:trPr>
          <w:jc w:val="center"/>
        </w:trPr>
        <w:tc>
          <w:tcPr>
            <w:tcW w:w="7920" w:type="dxa"/>
            <w:shd w:val="clear" w:color="auto" w:fill="F2F2F2"/>
          </w:tcPr>
          <w:p w:rsidR="00E035B4" w:rsidRDefault="00890CDD">
            <w:pPr>
              <w:spacing w:before="200"/>
              <w:jc w:val="center"/>
            </w:pPr>
            <w:r>
              <w:rPr>
                <w:b/>
                <w:sz w:val="18"/>
              </w:rPr>
              <w:t>[SCREENSHOT]</w:t>
            </w:r>
            <w:r>
              <w:rPr>
                <w:sz w:val="18"/>
              </w:rPr>
              <w:br/>
            </w:r>
            <w:r>
              <w:rPr>
                <w:color w:val="666666"/>
                <w:sz w:val="18"/>
              </w:rPr>
              <w:t>Caption: Courses list page with card layout and action buttons</w:t>
            </w:r>
            <w:r>
              <w:rPr>
                <w:sz w:val="18"/>
              </w:rPr>
              <w:br/>
            </w:r>
            <w:r>
              <w:rPr>
                <w:i/>
                <w:color w:val="666666"/>
                <w:sz w:val="18"/>
              </w:rPr>
              <w:t xml:space="preserve">(Replace this box with an actual screenshot </w:t>
            </w:r>
            <w:r>
              <w:rPr>
                <w:i/>
                <w:color w:val="666666"/>
                <w:sz w:val="18"/>
              </w:rPr>
              <w:t>before submission)</w:t>
            </w:r>
          </w:p>
        </w:tc>
      </w:tr>
    </w:tbl>
    <w:p w:rsidR="00E035B4" w:rsidRDefault="00E035B4"/>
    <w:tbl>
      <w:tblPr>
        <w:tblW w:w="0" w:type="auto"/>
        <w:jc w:val="center"/>
        <w:tblLook w:val="04A0" w:firstRow="1" w:lastRow="0" w:firstColumn="1" w:lastColumn="0" w:noHBand="0" w:noVBand="1"/>
      </w:tblPr>
      <w:tblGrid>
        <w:gridCol w:w="7920"/>
      </w:tblGrid>
      <w:tr w:rsidR="00E035B4">
        <w:trPr>
          <w:jc w:val="center"/>
        </w:trPr>
        <w:tc>
          <w:tcPr>
            <w:tcW w:w="7920" w:type="dxa"/>
            <w:shd w:val="clear" w:color="auto" w:fill="F2F2F2"/>
          </w:tcPr>
          <w:p w:rsidR="00E035B4" w:rsidRDefault="00890CDD">
            <w:pPr>
              <w:spacing w:before="200"/>
              <w:jc w:val="center"/>
            </w:pPr>
            <w:r>
              <w:rPr>
                <w:b/>
                <w:sz w:val="18"/>
              </w:rPr>
              <w:t>[SCREENSHOT]</w:t>
            </w:r>
            <w:r>
              <w:rPr>
                <w:sz w:val="18"/>
              </w:rPr>
              <w:br/>
            </w:r>
            <w:r>
              <w:rPr>
                <w:color w:val="666666"/>
                <w:sz w:val="18"/>
              </w:rPr>
              <w:t>Caption: Enrollment creation form with student/course dropdown selects</w:t>
            </w:r>
            <w:r>
              <w:rPr>
                <w:sz w:val="18"/>
              </w:rPr>
              <w:br/>
            </w:r>
            <w:r>
              <w:rPr>
                <w:i/>
                <w:color w:val="666666"/>
                <w:sz w:val="18"/>
              </w:rPr>
              <w:t>(Replace this box with an actual screenshot before submission)</w:t>
            </w:r>
          </w:p>
        </w:tc>
      </w:tr>
    </w:tbl>
    <w:p w:rsidR="00E035B4" w:rsidRDefault="00E035B4"/>
    <w:tbl>
      <w:tblPr>
        <w:tblW w:w="0" w:type="auto"/>
        <w:jc w:val="center"/>
        <w:tblLook w:val="04A0" w:firstRow="1" w:lastRow="0" w:firstColumn="1" w:lastColumn="0" w:noHBand="0" w:noVBand="1"/>
      </w:tblPr>
      <w:tblGrid>
        <w:gridCol w:w="7920"/>
      </w:tblGrid>
      <w:tr w:rsidR="00E035B4">
        <w:trPr>
          <w:jc w:val="center"/>
        </w:trPr>
        <w:tc>
          <w:tcPr>
            <w:tcW w:w="7920" w:type="dxa"/>
            <w:shd w:val="clear" w:color="auto" w:fill="F2F2F2"/>
          </w:tcPr>
          <w:p w:rsidR="00E035B4" w:rsidRDefault="00890CDD">
            <w:pPr>
              <w:spacing w:before="200"/>
              <w:jc w:val="center"/>
            </w:pPr>
            <w:r>
              <w:rPr>
                <w:b/>
                <w:sz w:val="18"/>
              </w:rPr>
              <w:t>[SCREENSHOT]</w:t>
            </w:r>
            <w:r>
              <w:rPr>
                <w:sz w:val="18"/>
              </w:rPr>
              <w:br/>
            </w:r>
            <w:r>
              <w:rPr>
                <w:color w:val="666666"/>
                <w:sz w:val="18"/>
              </w:rPr>
              <w:t>Caption: Architecture page showing active backend highlighted</w:t>
            </w:r>
            <w:r>
              <w:rPr>
                <w:sz w:val="18"/>
              </w:rPr>
              <w:br/>
            </w:r>
            <w:r>
              <w:rPr>
                <w:i/>
                <w:color w:val="666666"/>
                <w:sz w:val="18"/>
              </w:rPr>
              <w:t>(Replace th</w:t>
            </w:r>
            <w:r>
              <w:rPr>
                <w:i/>
                <w:color w:val="666666"/>
                <w:sz w:val="18"/>
              </w:rPr>
              <w:t>is box with an actual screenshot before submission)</w:t>
            </w:r>
          </w:p>
        </w:tc>
      </w:tr>
    </w:tbl>
    <w:p w:rsidR="00E035B4" w:rsidRDefault="00E035B4"/>
    <w:p w:rsidR="00E035B4" w:rsidRDefault="00890CDD">
      <w:pPr>
        <w:spacing w:before="280" w:after="160"/>
      </w:pPr>
      <w:r>
        <w:rPr>
          <w:b/>
          <w:sz w:val="22"/>
        </w:rPr>
        <w:t>III. EXPERIMENTAL FINDINGS / OBSERVATIONS</w:t>
      </w:r>
    </w:p>
    <w:p w:rsidR="00E035B4" w:rsidRDefault="00890CDD">
      <w:pPr>
        <w:spacing w:after="120"/>
        <w:jc w:val="both"/>
      </w:pPr>
      <w:r>
        <w:t>When running in monolithic mode, all operations—listing students, creating courses, enrolling students—completed instantly with zero network overhead. Page load</w:t>
      </w:r>
      <w:r>
        <w:t>s were consistently fast because every database query was an in-process Eloquent call against the local SQLite file. Switching to microservices mode introduced noticeable latency on pages that aggregate data from multiple services, particularly the enrollm</w:t>
      </w:r>
      <w:r>
        <w:t xml:space="preserve">ents index which must fetch student and course details for each enrollment row via HTTP. The ENV switch behaved reliably: changing APP_BACKEND in .env and running php artisan config:clear immediately toggled the backend, and the topbar badge confirmed the </w:t>
      </w:r>
      <w:r>
        <w:t>active mode.</w:t>
      </w:r>
    </w:p>
    <w:p w:rsidR="00E035B4" w:rsidRDefault="00890CDD">
      <w:pPr>
        <w:spacing w:after="120"/>
        <w:jc w:val="both"/>
      </w:pPr>
      <w:r>
        <w:lastRenderedPageBreak/>
        <w:t xml:space="preserve">Data consistency differed significantly between the two architectures. In monolithic mode, creating an enrollment that references a nonexistent student or course was caught immediately by Eloquent's exists() validation. In microservices mode, </w:t>
      </w:r>
      <w:r>
        <w:t>the Enrollment Service had to make two HTTP GET requests to verify the student and course before persisting—a pattern that could fail if either service was temporarily unavailable. Cascade delete behavior also differed: the monolithic repository could dele</w:t>
      </w:r>
      <w:r>
        <w:t>te related enrollments in the same transaction, while the microservices architecture required manual cross-service cleanup or acceptance of orphaned records.</w:t>
      </w:r>
    </w:p>
    <w:p w:rsidR="00E035B4" w:rsidRDefault="00890CDD">
      <w:pPr>
        <w:spacing w:after="120"/>
        <w:jc w:val="both"/>
      </w:pPr>
      <w:r>
        <w:t>The comparison table below summarizes the key differences observed during testing:</w:t>
      </w:r>
    </w:p>
    <w:tbl>
      <w:tblPr>
        <w:tblStyle w:val="TableGrid"/>
        <w:tblW w:w="0" w:type="auto"/>
        <w:jc w:val="center"/>
        <w:tblLook w:val="04A0" w:firstRow="1" w:lastRow="0" w:firstColumn="1" w:lastColumn="0" w:noHBand="0" w:noVBand="1"/>
      </w:tblPr>
      <w:tblGrid>
        <w:gridCol w:w="3120"/>
        <w:gridCol w:w="3120"/>
        <w:gridCol w:w="3120"/>
      </w:tblGrid>
      <w:tr w:rsidR="00E035B4">
        <w:trPr>
          <w:jc w:val="center"/>
        </w:trPr>
        <w:tc>
          <w:tcPr>
            <w:tcW w:w="3120" w:type="dxa"/>
            <w:shd w:val="clear" w:color="auto" w:fill="D9E2F3"/>
          </w:tcPr>
          <w:p w:rsidR="00E035B4" w:rsidRDefault="00890CDD">
            <w:pPr>
              <w:jc w:val="center"/>
            </w:pPr>
            <w:r>
              <w:rPr>
                <w:b/>
              </w:rPr>
              <w:t>Criteria</w:t>
            </w:r>
          </w:p>
        </w:tc>
        <w:tc>
          <w:tcPr>
            <w:tcW w:w="3120" w:type="dxa"/>
            <w:shd w:val="clear" w:color="auto" w:fill="D9E2F3"/>
          </w:tcPr>
          <w:p w:rsidR="00E035B4" w:rsidRDefault="00890CDD">
            <w:pPr>
              <w:jc w:val="center"/>
            </w:pPr>
            <w:r>
              <w:rPr>
                <w:b/>
              </w:rPr>
              <w:t>Monolithic</w:t>
            </w:r>
          </w:p>
        </w:tc>
        <w:tc>
          <w:tcPr>
            <w:tcW w:w="3120" w:type="dxa"/>
            <w:shd w:val="clear" w:color="auto" w:fill="D9E2F3"/>
          </w:tcPr>
          <w:p w:rsidR="00E035B4" w:rsidRDefault="00890CDD">
            <w:pPr>
              <w:jc w:val="center"/>
            </w:pPr>
            <w:r>
              <w:rPr>
                <w:b/>
              </w:rPr>
              <w:t>Microservices</w:t>
            </w:r>
          </w:p>
        </w:tc>
      </w:tr>
      <w:tr w:rsidR="00E035B4">
        <w:trPr>
          <w:jc w:val="center"/>
        </w:trPr>
        <w:tc>
          <w:tcPr>
            <w:tcW w:w="3120" w:type="dxa"/>
          </w:tcPr>
          <w:p w:rsidR="00E035B4" w:rsidRDefault="00890CDD">
            <w:r>
              <w:rPr>
                <w:sz w:val="18"/>
              </w:rPr>
              <w:t>Ease of Development</w:t>
            </w:r>
          </w:p>
        </w:tc>
        <w:tc>
          <w:tcPr>
            <w:tcW w:w="3120" w:type="dxa"/>
          </w:tcPr>
          <w:p w:rsidR="00E035B4" w:rsidRDefault="00890CDD">
            <w:r>
              <w:rPr>
                <w:sz w:val="18"/>
              </w:rPr>
              <w:t>Single codebase, shared DI, one DB</w:t>
            </w:r>
          </w:p>
        </w:tc>
        <w:tc>
          <w:tcPr>
            <w:tcW w:w="3120" w:type="dxa"/>
          </w:tcPr>
          <w:p w:rsidR="00E035B4" w:rsidRDefault="00890CDD">
            <w:r>
              <w:rPr>
                <w:sz w:val="18"/>
              </w:rPr>
              <w:t>Three apps, three DBs, HTTP wiring</w:t>
            </w:r>
          </w:p>
        </w:tc>
      </w:tr>
      <w:tr w:rsidR="00E035B4">
        <w:trPr>
          <w:jc w:val="center"/>
        </w:trPr>
        <w:tc>
          <w:tcPr>
            <w:tcW w:w="3120" w:type="dxa"/>
            <w:shd w:val="clear" w:color="auto" w:fill="F2F2F2"/>
          </w:tcPr>
          <w:p w:rsidR="00E035B4" w:rsidRDefault="00890CDD">
            <w:r>
              <w:rPr>
                <w:sz w:val="18"/>
              </w:rPr>
              <w:t>Deployment</w:t>
            </w:r>
          </w:p>
        </w:tc>
        <w:tc>
          <w:tcPr>
            <w:tcW w:w="3120" w:type="dxa"/>
            <w:shd w:val="clear" w:color="auto" w:fill="F2F2F2"/>
          </w:tcPr>
          <w:p w:rsidR="00E035B4" w:rsidRDefault="00890CDD">
            <w:r>
              <w:rPr>
                <w:sz w:val="18"/>
              </w:rPr>
              <w:t>One command: php artisan serve</w:t>
            </w:r>
          </w:p>
        </w:tc>
        <w:tc>
          <w:tcPr>
            <w:tcW w:w="3120" w:type="dxa"/>
            <w:shd w:val="clear" w:color="auto" w:fill="F2F2F2"/>
          </w:tcPr>
          <w:p w:rsidR="00E035B4" w:rsidRDefault="00890CDD">
            <w:r>
              <w:rPr>
                <w:sz w:val="18"/>
              </w:rPr>
              <w:t>Three terminals, three ports</w:t>
            </w:r>
          </w:p>
        </w:tc>
      </w:tr>
      <w:tr w:rsidR="00E035B4">
        <w:trPr>
          <w:jc w:val="center"/>
        </w:trPr>
        <w:tc>
          <w:tcPr>
            <w:tcW w:w="3120" w:type="dxa"/>
          </w:tcPr>
          <w:p w:rsidR="00E035B4" w:rsidRDefault="00890CDD">
            <w:r>
              <w:rPr>
                <w:sz w:val="18"/>
              </w:rPr>
              <w:t>Scalability</w:t>
            </w:r>
          </w:p>
        </w:tc>
        <w:tc>
          <w:tcPr>
            <w:tcW w:w="3120" w:type="dxa"/>
          </w:tcPr>
          <w:p w:rsidR="00E035B4" w:rsidRDefault="00890CDD">
            <w:r>
              <w:rPr>
                <w:sz w:val="18"/>
              </w:rPr>
              <w:t>Scale entire app only</w:t>
            </w:r>
          </w:p>
        </w:tc>
        <w:tc>
          <w:tcPr>
            <w:tcW w:w="3120" w:type="dxa"/>
          </w:tcPr>
          <w:p w:rsidR="00E035B4" w:rsidRDefault="00890CDD">
            <w:r>
              <w:rPr>
                <w:sz w:val="18"/>
              </w:rPr>
              <w:t>Scale each service independently</w:t>
            </w:r>
          </w:p>
        </w:tc>
      </w:tr>
      <w:tr w:rsidR="00E035B4">
        <w:trPr>
          <w:jc w:val="center"/>
        </w:trPr>
        <w:tc>
          <w:tcPr>
            <w:tcW w:w="3120" w:type="dxa"/>
            <w:shd w:val="clear" w:color="auto" w:fill="F2F2F2"/>
          </w:tcPr>
          <w:p w:rsidR="00E035B4" w:rsidRDefault="00890CDD">
            <w:r>
              <w:rPr>
                <w:sz w:val="18"/>
              </w:rPr>
              <w:t>Failure Impact</w:t>
            </w:r>
          </w:p>
        </w:tc>
        <w:tc>
          <w:tcPr>
            <w:tcW w:w="3120" w:type="dxa"/>
            <w:shd w:val="clear" w:color="auto" w:fill="F2F2F2"/>
          </w:tcPr>
          <w:p w:rsidR="00E035B4" w:rsidRDefault="00890CDD">
            <w:r>
              <w:rPr>
                <w:sz w:val="18"/>
              </w:rPr>
              <w:t>One bug affects all features</w:t>
            </w:r>
          </w:p>
        </w:tc>
        <w:tc>
          <w:tcPr>
            <w:tcW w:w="3120" w:type="dxa"/>
            <w:shd w:val="clear" w:color="auto" w:fill="F2F2F2"/>
          </w:tcPr>
          <w:p w:rsidR="00E035B4" w:rsidRDefault="00890CDD">
            <w:r>
              <w:rPr>
                <w:sz w:val="18"/>
              </w:rPr>
              <w:t>Failures isolated per service</w:t>
            </w:r>
          </w:p>
        </w:tc>
      </w:tr>
      <w:tr w:rsidR="00E035B4">
        <w:trPr>
          <w:jc w:val="center"/>
        </w:trPr>
        <w:tc>
          <w:tcPr>
            <w:tcW w:w="3120" w:type="dxa"/>
          </w:tcPr>
          <w:p w:rsidR="00E035B4" w:rsidRDefault="00890CDD">
            <w:r>
              <w:rPr>
                <w:sz w:val="18"/>
              </w:rPr>
              <w:t>Performance</w:t>
            </w:r>
          </w:p>
        </w:tc>
        <w:tc>
          <w:tcPr>
            <w:tcW w:w="3120" w:type="dxa"/>
          </w:tcPr>
          <w:p w:rsidR="00E035B4" w:rsidRDefault="00890CDD">
            <w:r>
              <w:rPr>
                <w:sz w:val="18"/>
              </w:rPr>
              <w:t>Zero HTTP overhead</w:t>
            </w:r>
          </w:p>
        </w:tc>
        <w:tc>
          <w:tcPr>
            <w:tcW w:w="3120" w:type="dxa"/>
          </w:tcPr>
          <w:p w:rsidR="00E035B4" w:rsidRDefault="00890CDD">
            <w:r>
              <w:rPr>
                <w:sz w:val="18"/>
              </w:rPr>
              <w:t>Network latency per call</w:t>
            </w:r>
          </w:p>
        </w:tc>
      </w:tr>
      <w:tr w:rsidR="00E035B4">
        <w:trPr>
          <w:jc w:val="center"/>
        </w:trPr>
        <w:tc>
          <w:tcPr>
            <w:tcW w:w="3120" w:type="dxa"/>
            <w:shd w:val="clear" w:color="auto" w:fill="F2F2F2"/>
          </w:tcPr>
          <w:p w:rsidR="00E035B4" w:rsidRDefault="00890CDD">
            <w:r>
              <w:rPr>
                <w:sz w:val="18"/>
              </w:rPr>
              <w:t>Cascade Delete</w:t>
            </w:r>
          </w:p>
        </w:tc>
        <w:tc>
          <w:tcPr>
            <w:tcW w:w="3120" w:type="dxa"/>
            <w:shd w:val="clear" w:color="auto" w:fill="F2F2F2"/>
          </w:tcPr>
          <w:p w:rsidR="00E035B4" w:rsidRDefault="00890CDD">
            <w:r>
              <w:rPr>
                <w:sz w:val="18"/>
              </w:rPr>
              <w:t>Automatic via Repository</w:t>
            </w:r>
          </w:p>
        </w:tc>
        <w:tc>
          <w:tcPr>
            <w:tcW w:w="3120" w:type="dxa"/>
            <w:shd w:val="clear" w:color="auto" w:fill="F2F2F2"/>
          </w:tcPr>
          <w:p w:rsidR="00E035B4" w:rsidRDefault="00890CDD">
            <w:r>
              <w:rPr>
                <w:sz w:val="18"/>
              </w:rPr>
              <w:t>Manual, cross-service trade-off</w:t>
            </w:r>
          </w:p>
        </w:tc>
      </w:tr>
      <w:tr w:rsidR="00E035B4">
        <w:trPr>
          <w:jc w:val="center"/>
        </w:trPr>
        <w:tc>
          <w:tcPr>
            <w:tcW w:w="3120" w:type="dxa"/>
          </w:tcPr>
          <w:p w:rsidR="00E035B4" w:rsidRDefault="00890CDD">
            <w:r>
              <w:rPr>
                <w:sz w:val="18"/>
              </w:rPr>
              <w:t>Data Consistency</w:t>
            </w:r>
          </w:p>
        </w:tc>
        <w:tc>
          <w:tcPr>
            <w:tcW w:w="3120" w:type="dxa"/>
          </w:tcPr>
          <w:p w:rsidR="00E035B4" w:rsidRDefault="00890CDD">
            <w:r>
              <w:rPr>
                <w:sz w:val="18"/>
              </w:rPr>
              <w:t>Single DB guarantees</w:t>
            </w:r>
          </w:p>
        </w:tc>
        <w:tc>
          <w:tcPr>
            <w:tcW w:w="3120" w:type="dxa"/>
          </w:tcPr>
          <w:p w:rsidR="00E035B4" w:rsidRDefault="00890CDD">
            <w:r>
              <w:rPr>
                <w:sz w:val="18"/>
              </w:rPr>
              <w:t xml:space="preserve">Eventual </w:t>
            </w:r>
            <w:r>
              <w:rPr>
                <w:sz w:val="18"/>
              </w:rPr>
              <w:t>consistency only</w:t>
            </w:r>
          </w:p>
        </w:tc>
      </w:tr>
    </w:tbl>
    <w:p w:rsidR="00E035B4" w:rsidRDefault="00E035B4"/>
    <w:tbl>
      <w:tblPr>
        <w:tblW w:w="0" w:type="auto"/>
        <w:jc w:val="center"/>
        <w:tblLook w:val="04A0" w:firstRow="1" w:lastRow="0" w:firstColumn="1" w:lastColumn="0" w:noHBand="0" w:noVBand="1"/>
      </w:tblPr>
      <w:tblGrid>
        <w:gridCol w:w="7920"/>
      </w:tblGrid>
      <w:tr w:rsidR="00E035B4">
        <w:trPr>
          <w:jc w:val="center"/>
        </w:trPr>
        <w:tc>
          <w:tcPr>
            <w:tcW w:w="7920" w:type="dxa"/>
            <w:shd w:val="clear" w:color="auto" w:fill="F2F2F2"/>
          </w:tcPr>
          <w:p w:rsidR="00E035B4" w:rsidRDefault="00890CDD">
            <w:pPr>
              <w:spacing w:before="200"/>
              <w:jc w:val="center"/>
            </w:pPr>
            <w:r>
              <w:rPr>
                <w:b/>
                <w:sz w:val="18"/>
              </w:rPr>
              <w:t>[SCREENSHOT]</w:t>
            </w:r>
            <w:r>
              <w:rPr>
                <w:sz w:val="18"/>
              </w:rPr>
              <w:br/>
            </w:r>
            <w:r>
              <w:rPr>
                <w:color w:val="666666"/>
                <w:sz w:val="18"/>
              </w:rPr>
              <w:t>Caption: Architecture page showing comparison with active backend highlighted</w:t>
            </w:r>
            <w:r>
              <w:rPr>
                <w:sz w:val="18"/>
              </w:rPr>
              <w:br/>
            </w:r>
            <w:r>
              <w:rPr>
                <w:color w:val="666666"/>
                <w:sz w:val="18"/>
              </w:rPr>
              <w:t>Expected: Active mode column tinted in comparison table</w:t>
            </w:r>
            <w:r>
              <w:rPr>
                <w:sz w:val="18"/>
              </w:rPr>
              <w:br/>
            </w:r>
            <w:r>
              <w:rPr>
                <w:i/>
                <w:color w:val="666666"/>
                <w:sz w:val="18"/>
              </w:rPr>
              <w:t>(Replace this box with an actual screenshot before submission)</w:t>
            </w:r>
          </w:p>
        </w:tc>
      </w:tr>
    </w:tbl>
    <w:p w:rsidR="00E035B4" w:rsidRDefault="00E035B4"/>
    <w:p w:rsidR="00E035B4" w:rsidRDefault="00890CDD">
      <w:pPr>
        <w:spacing w:before="280" w:after="160"/>
      </w:pPr>
      <w:r>
        <w:rPr>
          <w:b/>
          <w:sz w:val="22"/>
        </w:rPr>
        <w:t>IV. LAB DISCUSSIONS / COM</w:t>
      </w:r>
      <w:r>
        <w:rPr>
          <w:b/>
          <w:sz w:val="22"/>
        </w:rPr>
        <w:t>PUTATIONS</w:t>
      </w:r>
    </w:p>
    <w:p w:rsidR="00E035B4" w:rsidRDefault="00890CDD">
      <w:pPr>
        <w:spacing w:after="120"/>
        <w:jc w:val="both"/>
      </w:pPr>
      <w:r>
        <w:t>The MVCR pattern was chosen over plain MVC because it decouples the controller from the data access implementation. In a standard MVC approach, controllers call Eloquent models directly, making it impossible to swap the data source without rewrit</w:t>
      </w:r>
      <w:r>
        <w:t>ing every controller method. By introducing repository interfaces, the controller depends only on an abstraction—StudentRepositoryInterface, for example—and the service container decides at runtime whether to inject an Eloquent repository or an HTTP client</w:t>
      </w:r>
      <w:r>
        <w:t>. This is the Dependency Inversion Principle in practice, and it is what made the APP_BACKEND toggle possible without duplicating controller logic.</w:t>
      </w:r>
    </w:p>
    <w:p w:rsidR="00E035B4" w:rsidRDefault="00890CDD">
      <w:pPr>
        <w:spacing w:after="120"/>
        <w:jc w:val="both"/>
      </w:pPr>
      <w:r>
        <w:t>Each microservice having its own SQLite database enforces the Single Responsibility Principle at the data la</w:t>
      </w:r>
      <w:r>
        <w:t>yer. The Student Service cannot accidentally query course records, and the Course Service cannot modify enrollment data. This boundary is a key benefit of microservices: it forces explicit contracts between services (HTTP APIs) and prevents the implicit co</w:t>
      </w:r>
      <w:r>
        <w:t>upling that grows in monolithic databases over time. However, this also means that cascade deletes—trivial in a monolith with foreign key constraints—become an architectural decision in microservices. When a student is deleted, the enrollment records refer</w:t>
      </w:r>
      <w:r>
        <w:t>encing that student exist in a different database owned by a different service. The team must choose between eventual consistency (background cleanup), synchronous cross-service calls, or accepting orphaned data.</w:t>
      </w:r>
    </w:p>
    <w:p w:rsidR="00E035B4" w:rsidRDefault="00890CDD">
      <w:pPr>
        <w:spacing w:after="120"/>
        <w:jc w:val="both"/>
      </w:pPr>
      <w:r>
        <w:t>Blade server-side rendering was chosen over</w:t>
      </w:r>
      <w:r>
        <w:t xml:space="preserve"> a separate SPA frontend to keep the architecture comparison focused on the backend. A React or Vue frontend would have introduced a fourth service and obscured the monolith-vs-microservices comparison with frontend build complexity. Blade templates receiv</w:t>
      </w:r>
      <w:r>
        <w:t xml:space="preserve">e the same data structures from both backends, making the frontend a constant while the backend varies. This system directly relates to real-world N-tier architecture: the presentation tier (Blade), application tier (Controllers + </w:t>
      </w:r>
      <w:r>
        <w:lastRenderedPageBreak/>
        <w:t>Repositories), and data t</w:t>
      </w:r>
      <w:r>
        <w:t>ier (SQLite / HTTP services) are cleanly separated, and the Repository Pattern is the seam that allows the data tier to change without affecting the layers above.</w:t>
      </w:r>
    </w:p>
    <w:p w:rsidR="00E035B4" w:rsidRDefault="00890CDD">
      <w:pPr>
        <w:spacing w:before="280" w:after="160"/>
      </w:pPr>
      <w:r>
        <w:rPr>
          <w:b/>
          <w:sz w:val="22"/>
        </w:rPr>
        <w:t>V. CONCLUSIONS</w:t>
      </w:r>
    </w:p>
    <w:p w:rsidR="00E035B4" w:rsidRDefault="00890CDD">
      <w:pPr>
        <w:spacing w:after="120"/>
        <w:jc w:val="both"/>
      </w:pPr>
      <w:r>
        <w:t xml:space="preserve">For a student course enrollment system of this scale—three domain entities, a </w:t>
      </w:r>
      <w:r>
        <w:t>small development team, and a single deployment environment—the monolithic MVCR architecture is the clearly preferred choice. It offers simpler development, faster performance, trivial data consistency, and a single deployment artifact. The Repository Patt</w:t>
      </w:r>
      <w:r>
        <w:t>ern made the architecture switch possible by abstracting the data layer behind interfaces, proving that good internal boundaries are more valuable than premature decomposition. To prefer microservices, the system would need to grow to a scale where indepen</w:t>
      </w:r>
      <w:r>
        <w:t>dent scaling of individual domains (e.g., enrollment processing spikes), independent deployment by separate teams, and fault isolation between services provide tangible benefits that outweigh the operational overhead. This exercise demonstrated that the tr</w:t>
      </w:r>
      <w:r>
        <w:t>ade-off between simplicity and scalability is not theoretical—it manifests concretely in development time, debugging complexity, deployment procedures, and data consistency guarantees.</w:t>
      </w:r>
    </w:p>
    <w:p w:rsidR="00E035B4" w:rsidRDefault="00890CDD">
      <w:pPr>
        <w:spacing w:before="280" w:after="160"/>
      </w:pPr>
      <w:r>
        <w:rPr>
          <w:b/>
          <w:sz w:val="22"/>
        </w:rPr>
        <w:t>References</w:t>
      </w:r>
    </w:p>
    <w:p w:rsidR="00E035B4" w:rsidRDefault="00890CDD">
      <w:pPr>
        <w:spacing w:after="120"/>
        <w:ind w:left="720" w:hanging="720"/>
      </w:pPr>
      <w:r>
        <w:rPr>
          <w:sz w:val="18"/>
        </w:rPr>
        <w:t xml:space="preserve">Laravel Documentation. (2024). The PHP Framework for Web </w:t>
      </w:r>
      <w:r>
        <w:rPr>
          <w:sz w:val="18"/>
        </w:rPr>
        <w:t>Artisans. https://laravel.com/docs</w:t>
      </w:r>
    </w:p>
    <w:p w:rsidR="00E035B4" w:rsidRDefault="00890CDD">
      <w:pPr>
        <w:spacing w:after="120"/>
        <w:ind w:left="720" w:hanging="720"/>
      </w:pPr>
      <w:r>
        <w:rPr>
          <w:sz w:val="18"/>
        </w:rPr>
        <w:t>Fowler, M. (2002). Patterns of Enterprise Application Architecture. Addison-Wesley.</w:t>
      </w:r>
    </w:p>
    <w:p w:rsidR="00E035B4" w:rsidRDefault="00890CDD">
      <w:pPr>
        <w:spacing w:after="120"/>
        <w:ind w:left="720" w:hanging="720"/>
      </w:pPr>
      <w:r>
        <w:rPr>
          <w:sz w:val="18"/>
        </w:rPr>
        <w:t>Richardson, C. (2018). Microservices Patterns. Manning Publications.</w:t>
      </w:r>
    </w:p>
    <w:p w:rsidR="00E035B4" w:rsidRDefault="00890CDD">
      <w:pPr>
        <w:spacing w:after="120"/>
        <w:ind w:left="720" w:hanging="720"/>
      </w:pPr>
      <w:r>
        <w:rPr>
          <w:sz w:val="18"/>
        </w:rPr>
        <w:t>Microsoft. (2023). Repository Pattern. https://docs.microsoft.com/en</w:t>
      </w:r>
      <w:r>
        <w:rPr>
          <w:sz w:val="18"/>
        </w:rPr>
        <w:t>-us/dotnet/architecture</w:t>
      </w:r>
    </w:p>
    <w:sectPr w:rsidR="00E035B4" w:rsidSect="00034616">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90CDD" w:rsidRDefault="00890CDD">
      <w:pPr>
        <w:spacing w:after="0" w:line="240" w:lineRule="auto"/>
      </w:pPr>
      <w:r>
        <w:separator/>
      </w:r>
    </w:p>
  </w:endnote>
  <w:endnote w:type="continuationSeparator" w:id="0">
    <w:p w:rsidR="00890CDD" w:rsidRDefault="00890C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035B4" w:rsidRDefault="00890CDD">
    <w:pPr>
      <w:pStyle w:val="Footer"/>
      <w:jc w:val="center"/>
    </w:pPr>
    <w:r>
      <w:rPr>
        <w:color w:val="666666"/>
        <w:sz w:val="18"/>
      </w:rPr>
      <w:t xml:space="preserve">Page </w:t>
    </w:r>
    <w:r>
      <w:rPr>
        <w:color w:val="666666"/>
        <w:sz w:val="18"/>
      </w:rPr>
      <w:fldChar w:fldCharType="begin"/>
    </w:r>
    <w:r>
      <w:rPr>
        <w:color w:val="666666"/>
        <w:sz w:val="18"/>
      </w:rPr>
      <w:instrText xml:space="preserve"> PAGE </w:instrText>
    </w:r>
    <w:r w:rsidR="00FE1E05">
      <w:rPr>
        <w:color w:val="666666"/>
        <w:sz w:val="18"/>
      </w:rPr>
      <w:fldChar w:fldCharType="separate"/>
    </w:r>
    <w:r w:rsidR="00FE1E05">
      <w:rPr>
        <w:noProof/>
        <w:color w:val="666666"/>
        <w:sz w:val="18"/>
      </w:rPr>
      <w:t>1</w:t>
    </w:r>
    <w:r>
      <w:fldChar w:fldCharType="end"/>
    </w:r>
    <w:r>
      <w:rPr>
        <w:color w:val="666666"/>
        <w:sz w:val="18"/>
      </w:rPr>
      <w:t xml:space="preserve"> of </w:t>
    </w:r>
    <w:r>
      <w:fldChar w:fldCharType="begin"/>
    </w:r>
    <w:r>
      <w:rPr>
        <w:color w:val="666666"/>
        <w:sz w:val="18"/>
      </w:rPr>
      <w:instrText xml:space="preserve"> NUMPAGES </w:instrText>
    </w:r>
    <w:r w:rsidR="00FE1E05">
      <w:fldChar w:fldCharType="separate"/>
    </w:r>
    <w:r w:rsidR="00FE1E05">
      <w:rPr>
        <w:noProof/>
        <w:color w:val="666666"/>
        <w:sz w:val="18"/>
      </w:rPr>
      <w:t>5</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90CDD" w:rsidRDefault="00890CDD">
      <w:pPr>
        <w:spacing w:after="0" w:line="240" w:lineRule="auto"/>
      </w:pPr>
      <w:r>
        <w:separator/>
      </w:r>
    </w:p>
  </w:footnote>
  <w:footnote w:type="continuationSeparator" w:id="0">
    <w:p w:rsidR="00890CDD" w:rsidRDefault="00890C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035B4" w:rsidRDefault="00890CDD">
    <w:pPr>
      <w:pStyle w:val="Header"/>
      <w:jc w:val="center"/>
    </w:pPr>
    <w:r>
      <w:rPr>
        <w:i/>
        <w:color w:val="666666"/>
        <w:sz w:val="18"/>
      </w:rPr>
      <w:t>ITSAR2 313 – SYSTEM INTEGRATION AND ARCHITECTURE 2</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890CDD"/>
    <w:rsid w:val="00AA1D8D"/>
    <w:rsid w:val="00B47730"/>
    <w:rsid w:val="00CB0664"/>
    <w:rsid w:val="00E035B4"/>
    <w:rsid w:val="00FC693F"/>
    <w:rsid w:val="00FE1E0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50A9A9"/>
  <w14:defaultImageDpi w14:val="300"/>
  <w15:docId w15:val="{92219C8A-C181-434A-AF95-CC6641B967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Cambria" w:hAnsi="Cambria"/>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ECB3E-D6FD-4BA1-9E2C-2C1E8F5F5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2064</Words>
  <Characters>11770</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Patrick Sagum</cp:lastModifiedBy>
  <cp:revision>3</cp:revision>
  <dcterms:created xsi:type="dcterms:W3CDTF">2013-12-23T23:15:00Z</dcterms:created>
  <dcterms:modified xsi:type="dcterms:W3CDTF">2026-03-11T14:30:00Z</dcterms:modified>
  <cp:category/>
</cp:coreProperties>
</file>