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7C2C" w:rsidRPr="003356F7" w:rsidRDefault="00001CA5">
      <w:pPr>
        <w:spacing w:after="120"/>
        <w:jc w:val="center"/>
        <w:rPr>
          <w:rFonts w:asciiTheme="minorHAnsi" w:hAnsiTheme="minorHAnsi"/>
          <w:sz w:val="22"/>
        </w:rPr>
      </w:pPr>
      <w:r w:rsidRPr="003356F7">
        <w:rPr>
          <w:rFonts w:asciiTheme="minorHAnsi" w:hAnsiTheme="minorHAnsi"/>
          <w:b/>
          <w:sz w:val="22"/>
        </w:rPr>
        <w:t>Architecture Diagrams — Monolithic vs Microservices</w:t>
      </w:r>
    </w:p>
    <w:p w:rsidR="00387C2C" w:rsidRPr="003356F7" w:rsidRDefault="00001CA5">
      <w:pPr>
        <w:spacing w:after="240"/>
        <w:jc w:val="center"/>
        <w:rPr>
          <w:rFonts w:asciiTheme="minorHAnsi" w:hAnsiTheme="minorHAnsi"/>
          <w:sz w:val="22"/>
        </w:rPr>
      </w:pPr>
      <w:r w:rsidRPr="003356F7">
        <w:rPr>
          <w:rFonts w:asciiTheme="minorHAnsi" w:hAnsiTheme="minorHAnsi"/>
          <w:sz w:val="22"/>
        </w:rPr>
        <w:t>Sagum, Patrick R.; Henson, Princess Terana Caram Rasonable;</w:t>
      </w:r>
      <w:r w:rsidRPr="003356F7">
        <w:rPr>
          <w:rFonts w:asciiTheme="minorHAnsi" w:hAnsiTheme="minorHAnsi"/>
          <w:sz w:val="22"/>
        </w:rPr>
        <w:br/>
      </w:r>
      <w:r w:rsidRPr="003356F7">
        <w:rPr>
          <w:rFonts w:asciiTheme="minorHAnsi" w:hAnsiTheme="minorHAnsi"/>
          <w:sz w:val="22"/>
        </w:rPr>
        <w:t>Gargarita, Trisha Faith Casiano; Mogat, Ela Mae Trojillo;</w:t>
      </w:r>
      <w:r w:rsidRPr="003356F7">
        <w:rPr>
          <w:rFonts w:asciiTheme="minorHAnsi" w:hAnsiTheme="minorHAnsi"/>
          <w:sz w:val="22"/>
        </w:rPr>
        <w:br/>
      </w:r>
      <w:r w:rsidRPr="003356F7">
        <w:rPr>
          <w:rFonts w:asciiTheme="minorHAnsi" w:hAnsiTheme="minorHAnsi"/>
          <w:sz w:val="22"/>
        </w:rPr>
        <w:t>Tibo-oc, Paul Felippe Gelle</w:t>
      </w:r>
      <w:r w:rsidRPr="003356F7">
        <w:rPr>
          <w:rFonts w:asciiTheme="minorHAnsi" w:hAnsiTheme="minorHAnsi"/>
          <w:sz w:val="22"/>
        </w:rPr>
        <w:br/>
      </w:r>
      <w:r w:rsidRPr="003356F7">
        <w:rPr>
          <w:rFonts w:asciiTheme="minorHAnsi" w:hAnsiTheme="minorHAnsi"/>
          <w:i/>
          <w:sz w:val="22"/>
        </w:rPr>
        <w:t>Information Technology, College of Computer Studies</w:t>
      </w:r>
      <w:r w:rsidRPr="003356F7">
        <w:rPr>
          <w:rFonts w:asciiTheme="minorHAnsi" w:hAnsiTheme="minorHAnsi"/>
          <w:sz w:val="22"/>
        </w:rPr>
        <w:br/>
      </w:r>
      <w:r w:rsidRPr="003356F7">
        <w:rPr>
          <w:rFonts w:asciiTheme="minorHAnsi" w:hAnsiTheme="minorHAnsi"/>
          <w:i/>
          <w:sz w:val="22"/>
        </w:rPr>
        <w:t>Carlos Hilado Memorial State University</w:t>
      </w:r>
    </w:p>
    <w:p w:rsidR="00387C2C" w:rsidRPr="003356F7" w:rsidRDefault="00001CA5">
      <w:pPr>
        <w:spacing w:before="240" w:after="120"/>
        <w:rPr>
          <w:rFonts w:asciiTheme="minorHAnsi" w:hAnsiTheme="minorHAnsi"/>
          <w:sz w:val="22"/>
        </w:rPr>
      </w:pPr>
      <w:r w:rsidRPr="003356F7">
        <w:rPr>
          <w:rFonts w:asciiTheme="minorHAnsi" w:hAnsiTheme="minorHAnsi"/>
          <w:b/>
          <w:sz w:val="22"/>
        </w:rPr>
        <w:t>Section 1 — Monolithic Architecture</w:t>
      </w:r>
    </w:p>
    <w:p w:rsidR="00387C2C" w:rsidRPr="003356F7" w:rsidRDefault="00001CA5">
      <w:pPr>
        <w:rPr>
          <w:rFonts w:asciiTheme="minorHAnsi" w:hAnsiTheme="minorHAnsi"/>
          <w:sz w:val="22"/>
        </w:rPr>
      </w:pPr>
      <w:r w:rsidRPr="003356F7">
        <w:rPr>
          <w:rFonts w:asciiTheme="minorHAnsi" w:hAnsiTheme="minorHAnsi"/>
          <w:sz w:val="22"/>
        </w:rPr>
        <w:t>The monolithic application is a single Laravel project located in lab1/academe/. It uses one SQLite database file (database/database.sqlite) and follows the Model–View–Controller–R</w:t>
      </w:r>
      <w:r w:rsidRPr="003356F7">
        <w:rPr>
          <w:rFonts w:asciiTheme="minorHAnsi" w:hAnsiTheme="minorHAnsi"/>
          <w:sz w:val="22"/>
        </w:rPr>
        <w:t>epository (MVCR) pattern. Every request flows through the route layer, into a FormRequest for validation, then to a Controller that injects a Repository Interface. The concrete Repository Implementation talks to Eloquent Models, which read from and write t</w:t>
      </w:r>
      <w:r w:rsidRPr="003356F7">
        <w:rPr>
          <w:rFonts w:asciiTheme="minorHAnsi" w:hAnsiTheme="minorHAnsi"/>
          <w:sz w:val="22"/>
        </w:rPr>
        <w:t xml:space="preserve">o the single SQLite database. The Controller returns data to Blade views for server-side rendering. All three domains — Students, Courses, and Enrollments — live in one codebase, share one database, and deploy as a single unit. The APP_BACKEND variable in </w:t>
      </w:r>
      <w:r w:rsidRPr="003356F7">
        <w:rPr>
          <w:rFonts w:asciiTheme="minorHAnsi" w:hAnsiTheme="minorHAnsi"/>
          <w:sz w:val="22"/>
        </w:rPr>
        <w:t>.env controls whether the Controller routes through the local Repository (monolithic mode) or through HTTP Service Clients (microservices mode).</w:t>
      </w:r>
    </w:p>
    <w:p w:rsidR="00347596" w:rsidRPr="003356F7" w:rsidRDefault="00347596" w:rsidP="00347596">
      <w:pPr>
        <w:jc w:val="center"/>
        <w:rPr>
          <w:rFonts w:asciiTheme="minorHAnsi" w:hAnsiTheme="minorHAnsi"/>
          <w:b/>
          <w:i/>
          <w:sz w:val="22"/>
        </w:rPr>
      </w:pPr>
      <w:r w:rsidRPr="003356F7">
        <w:rPr>
          <w:rFonts w:asciiTheme="minorHAnsi" w:hAnsiTheme="minorHAnsi"/>
          <w:b/>
          <w:i/>
          <w:sz w:val="22"/>
        </w:rPr>
        <w:t>“</w:t>
      </w:r>
      <w:r w:rsidRPr="003356F7">
        <w:rPr>
          <w:rFonts w:asciiTheme="minorHAnsi" w:hAnsiTheme="minorHAnsi"/>
          <w:b/>
          <w:i/>
          <w:sz w:val="22"/>
        </w:rPr>
        <w:t>Monolithic Architecture — Single Laravel app, single SQLite database, all features in one codebase</w:t>
      </w:r>
      <w:r w:rsidRPr="003356F7">
        <w:rPr>
          <w:rFonts w:asciiTheme="minorHAnsi" w:hAnsiTheme="minorHAnsi"/>
          <w:b/>
          <w:i/>
          <w:sz w:val="22"/>
        </w:rPr>
        <w:t>”</w:t>
      </w:r>
    </w:p>
    <w:p w:rsidR="003356F7" w:rsidRDefault="00590056" w:rsidP="003356F7">
      <w:pPr>
        <w:jc w:val="center"/>
        <w:rPr>
          <w:rFonts w:asciiTheme="minorHAnsi" w:hAnsiTheme="minorHAnsi"/>
          <w:b/>
          <w:sz w:val="22"/>
        </w:rPr>
      </w:pPr>
      <w:r w:rsidRPr="003356F7">
        <w:rPr>
          <w:rFonts w:asciiTheme="minorHAnsi" w:hAnsiTheme="minorHAnsi"/>
          <w:i/>
          <w:sz w:val="22"/>
        </w:rPr>
        <w:drawing>
          <wp:inline distT="0" distB="0" distL="0" distR="0" wp14:anchorId="45CC85BE" wp14:editId="523391BB">
            <wp:extent cx="5242560" cy="4032178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7196" cy="403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C2C" w:rsidRPr="003356F7" w:rsidRDefault="00001CA5" w:rsidP="003356F7">
      <w:pPr>
        <w:rPr>
          <w:rFonts w:asciiTheme="minorHAnsi" w:hAnsiTheme="minorHAnsi"/>
          <w:b/>
          <w:sz w:val="22"/>
        </w:rPr>
      </w:pPr>
      <w:r w:rsidRPr="003356F7">
        <w:rPr>
          <w:rFonts w:asciiTheme="minorHAnsi" w:hAnsiTheme="minorHAnsi"/>
          <w:b/>
          <w:sz w:val="22"/>
        </w:rPr>
        <w:lastRenderedPageBreak/>
        <w:t>Section 2 — Microservices Architecture</w:t>
      </w:r>
    </w:p>
    <w:p w:rsidR="00387C2C" w:rsidRPr="003356F7" w:rsidRDefault="00001CA5">
      <w:pPr>
        <w:rPr>
          <w:rFonts w:asciiTheme="minorHAnsi" w:hAnsiTheme="minorHAnsi"/>
          <w:sz w:val="22"/>
        </w:rPr>
      </w:pPr>
      <w:r w:rsidRPr="003356F7">
        <w:rPr>
          <w:rFonts w:asciiTheme="minorHAnsi" w:hAnsiTheme="minorHAnsi"/>
          <w:sz w:val="22"/>
        </w:rPr>
        <w:t>The microservices decomposition split</w:t>
      </w:r>
      <w:r w:rsidRPr="003356F7">
        <w:rPr>
          <w:rFonts w:asciiTheme="minorHAnsi" w:hAnsiTheme="minorHAnsi"/>
          <w:sz w:val="22"/>
        </w:rPr>
        <w:t>s the system into three independent Laravel applications: student-service (port 8001), course-service (port 8002), and enrollment-service (port 8003). Each service owns its own SQLite database file and exposes a JSON REST API. The enrollment-service valida</w:t>
      </w:r>
      <w:r w:rsidRPr="003356F7">
        <w:rPr>
          <w:rFonts w:asciiTheme="minorHAnsi" w:hAnsiTheme="minorHAnsi"/>
          <w:sz w:val="22"/>
        </w:rPr>
        <w:t>tes foreign keys by making synchronous HTTP GET calls to the student-service and course-service before persisting any enrollment record. These calls use Http::timeout(5) and are wrapped in try/catch blocks to handle 503 (connection refused) and 504 (timeou</w:t>
      </w:r>
      <w:r w:rsidRPr="003356F7">
        <w:rPr>
          <w:rFonts w:asciiTheme="minorHAnsi" w:hAnsiTheme="minorHAnsi"/>
          <w:sz w:val="22"/>
        </w:rPr>
        <w:t>t) scenarios independently. Each service follows the same MVCR pattern internally — Controller → Repository Interface → Repository Implementation → Eloquent Model → SQLite. There is no shared database, no message queue, and no API gateway.</w:t>
      </w:r>
      <w:bookmarkStart w:id="0" w:name="_GoBack"/>
      <w:bookmarkEnd w:id="0"/>
    </w:p>
    <w:p w:rsidR="00590056" w:rsidRPr="003356F7" w:rsidRDefault="00590056" w:rsidP="00590056">
      <w:pPr>
        <w:jc w:val="center"/>
        <w:rPr>
          <w:rFonts w:asciiTheme="minorHAnsi" w:hAnsiTheme="minorHAnsi"/>
          <w:b/>
          <w:i/>
          <w:sz w:val="22"/>
        </w:rPr>
      </w:pPr>
      <w:r w:rsidRPr="003356F7">
        <w:rPr>
          <w:rFonts w:asciiTheme="minorHAnsi" w:hAnsiTheme="minorHAnsi"/>
          <w:b/>
          <w:i/>
          <w:sz w:val="22"/>
        </w:rPr>
        <w:t>"Microservices Architecture — Three independent services each with own SQLite database, communicating via HTTP"</w:t>
      </w:r>
    </w:p>
    <w:p w:rsidR="003356F7" w:rsidRPr="003356F7" w:rsidRDefault="003356F7" w:rsidP="00590056">
      <w:pPr>
        <w:jc w:val="center"/>
        <w:rPr>
          <w:rFonts w:asciiTheme="minorHAnsi" w:hAnsiTheme="minorHAnsi"/>
          <w:b/>
          <w:sz w:val="22"/>
        </w:rPr>
      </w:pPr>
      <w:r w:rsidRPr="003356F7">
        <w:rPr>
          <w:rFonts w:asciiTheme="minorHAnsi" w:hAnsiTheme="minorHAnsi"/>
          <w:sz w:val="22"/>
        </w:rPr>
        <w:drawing>
          <wp:inline distT="0" distB="0" distL="0" distR="0" wp14:anchorId="5D289C6D" wp14:editId="7A05F582">
            <wp:extent cx="6313713" cy="441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9434" cy="443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C2C" w:rsidRPr="003356F7" w:rsidRDefault="00387C2C">
      <w:pPr>
        <w:rPr>
          <w:rFonts w:asciiTheme="minorHAnsi" w:hAnsiTheme="minorHAnsi"/>
          <w:sz w:val="22"/>
        </w:rPr>
      </w:pPr>
    </w:p>
    <w:p w:rsidR="00387C2C" w:rsidRPr="003356F7" w:rsidRDefault="00387C2C">
      <w:pPr>
        <w:rPr>
          <w:rFonts w:asciiTheme="minorHAnsi" w:hAnsiTheme="minorHAnsi"/>
          <w:sz w:val="22"/>
        </w:rPr>
      </w:pPr>
    </w:p>
    <w:sectPr w:rsidR="00387C2C" w:rsidRPr="003356F7" w:rsidSect="0003461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1CA5" w:rsidRDefault="00001CA5">
      <w:pPr>
        <w:spacing w:after="0" w:line="240" w:lineRule="auto"/>
      </w:pPr>
      <w:r>
        <w:separator/>
      </w:r>
    </w:p>
  </w:endnote>
  <w:endnote w:type="continuationSeparator" w:id="0">
    <w:p w:rsidR="00001CA5" w:rsidRDefault="00001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7C2C" w:rsidRDefault="00001CA5">
    <w:pPr>
      <w:pStyle w:val="Footer"/>
      <w:jc w:val="center"/>
    </w:pPr>
    <w:r>
      <w:rPr>
        <w:sz w:val="18"/>
      </w:rPr>
      <w:t xml:space="preserve">Page </w:t>
    </w:r>
    <w:r>
      <w:fldChar w:fldCharType="begin"/>
    </w:r>
    <w:r>
      <w:instrText xml:space="preserve"> PAGE </w:instrText>
    </w:r>
    <w:r w:rsidR="00347596">
      <w:fldChar w:fldCharType="separate"/>
    </w:r>
    <w:r w:rsidR="003356F7">
      <w:rPr>
        <w:noProof/>
      </w:rPr>
      <w:t>2</w:t>
    </w:r>
    <w:r>
      <w:fldChar w:fldCharType="end"/>
    </w:r>
    <w:r>
      <w:rPr>
        <w:sz w:val="18"/>
      </w:rPr>
      <w:t xml:space="preserve"> of </w:t>
    </w:r>
    <w:r>
      <w:fldChar w:fldCharType="begin"/>
    </w:r>
    <w:r>
      <w:instrText xml:space="preserve"> NUMPAGES </w:instrText>
    </w:r>
    <w:r w:rsidR="00347596">
      <w:fldChar w:fldCharType="separate"/>
    </w:r>
    <w:r w:rsidR="003356F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1CA5" w:rsidRDefault="00001CA5">
      <w:pPr>
        <w:spacing w:after="0" w:line="240" w:lineRule="auto"/>
      </w:pPr>
      <w:r>
        <w:separator/>
      </w:r>
    </w:p>
  </w:footnote>
  <w:footnote w:type="continuationSeparator" w:id="0">
    <w:p w:rsidR="00001CA5" w:rsidRDefault="00001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7C2C" w:rsidRDefault="00001CA5">
    <w:pPr>
      <w:pStyle w:val="Header"/>
      <w:jc w:val="center"/>
    </w:pPr>
    <w:r>
      <w:rPr>
        <w:i/>
        <w:sz w:val="18"/>
      </w:rPr>
      <w:t>ITSAR2 313 – SYSTEM INTEGRATION AND ARCHITECTURE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CA5"/>
    <w:rsid w:val="00034616"/>
    <w:rsid w:val="0006063C"/>
    <w:rsid w:val="0015074B"/>
    <w:rsid w:val="0029639D"/>
    <w:rsid w:val="00326F90"/>
    <w:rsid w:val="003356F7"/>
    <w:rsid w:val="00347596"/>
    <w:rsid w:val="00387C2C"/>
    <w:rsid w:val="005900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303A5"/>
  <w14:defaultImageDpi w14:val="300"/>
  <w15:docId w15:val="{3FA7C82D-40A4-4CB8-B14E-18FF59CF5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mbria" w:hAnsi="Cambria" w:cs="Cambri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84B189-D2B8-4E1B-9291-7F76C2F1F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Patrick Sagum</cp:lastModifiedBy>
  <cp:revision>2</cp:revision>
  <dcterms:created xsi:type="dcterms:W3CDTF">2013-12-23T23:15:00Z</dcterms:created>
  <dcterms:modified xsi:type="dcterms:W3CDTF">2026-03-12T01:18:00Z</dcterms:modified>
  <cp:category/>
</cp:coreProperties>
</file>