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Monolithic vs Microservices Comparison</w:t>
      </w:r>
    </w:p>
    <w:p>
      <w:r>
        <w:t>Subject: System Architecture and Integration 2</w:t>
        <w:br/>
        <w:t>Section: BIST 3B</w:t>
        <w:br/>
        <w:t>Members: Sagum, Patrick Ruiz · Henson, Princess Terana Caram Rasonable · Gargarita, Trisha Faith Casiano · Mogat, Ela Mae Trojillo · Tibo-oc, Paul Felippe Gelle</w:t>
      </w:r>
    </w:p>
    <w:p>
      <w:pPr>
        <w:pStyle w:val="Heading1"/>
      </w:pPr>
      <w:r>
        <w:t>Side-by-Side Comparison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Criteria</w:t>
            </w:r>
          </w:p>
        </w:tc>
        <w:tc>
          <w:tcPr>
            <w:tcW w:type="dxa" w:w="2160"/>
          </w:tcPr>
          <w:p>
            <w:r>
              <w:rPr>
                <w:b/>
                <w:sz w:val="20"/>
              </w:rPr>
              <w:t>Monolithic</w:t>
            </w:r>
          </w:p>
        </w:tc>
        <w:tc>
          <w:tcPr>
            <w:tcW w:type="dxa" w:w="2160"/>
          </w:tcPr>
          <w:p>
            <w:r>
              <w:rPr>
                <w:b/>
                <w:sz w:val="20"/>
              </w:rPr>
              <w:t>Microservices</w:t>
            </w:r>
          </w:p>
        </w:tc>
        <w:tc>
          <w:tcPr>
            <w:tcW w:type="dxa" w:w="2160"/>
          </w:tcPr>
          <w:p>
            <w:r>
              <w:rPr>
                <w:b/>
                <w:sz w:val="20"/>
              </w:rPr>
              <w:t>Winner</w:t>
            </w:r>
          </w:p>
        </w:tc>
      </w:tr>
      <w:tr>
        <w:tc>
          <w:tcPr>
            <w:tcW w:type="dxa" w:w="2160"/>
          </w:tcPr>
          <w:p>
            <w:r>
              <w:rPr>
                <w:sz w:val="20"/>
              </w:rPr>
              <w:t>Ease of Development</w:t>
            </w:r>
          </w:p>
        </w:tc>
        <w:tc>
          <w:tcPr>
            <w:tcW w:type="dxa" w:w="2160"/>
          </w:tcPr>
          <w:p>
            <w:r>
              <w:rPr>
                <w:sz w:val="20"/>
              </w:rPr>
              <w:t>Low — single codebase, shared ORM</w:t>
            </w:r>
          </w:p>
        </w:tc>
        <w:tc>
          <w:tcPr>
            <w:tcW w:type="dxa" w:w="2160"/>
          </w:tcPr>
          <w:p>
            <w:r>
              <w:rPr>
                <w:sz w:val="20"/>
              </w:rPr>
              <w:t>High — distributed systems, inter-service HTTP</w:t>
            </w:r>
          </w:p>
        </w:tc>
        <w:tc>
          <w:tcPr>
            <w:tcW w:type="dxa" w:w="2160"/>
          </w:tcPr>
          <w:p>
            <w:r>
              <w:rPr>
                <w:sz w:val="20"/>
              </w:rPr>
              <w:t>Mono</w:t>
            </w:r>
          </w:p>
        </w:tc>
      </w:tr>
      <w:tr>
        <w:tc>
          <w:tcPr>
            <w:tcW w:type="dxa" w:w="2160"/>
          </w:tcPr>
          <w:p>
            <w:r>
              <w:rPr>
                <w:sz w:val="20"/>
              </w:rPr>
              <w:t>Deployment Difficulty</w:t>
            </w:r>
          </w:p>
        </w:tc>
        <w:tc>
          <w:tcPr>
            <w:tcW w:type="dxa" w:w="2160"/>
          </w:tcPr>
          <w:p>
            <w:r>
              <w:rPr>
                <w:sz w:val="20"/>
              </w:rPr>
              <w:t>Single artifact, one server</w:t>
            </w:r>
          </w:p>
        </w:tc>
        <w:tc>
          <w:tcPr>
            <w:tcW w:type="dxa" w:w="2160"/>
          </w:tcPr>
          <w:p>
            <w:r>
              <w:rPr>
                <w:sz w:val="20"/>
              </w:rPr>
              <w:t>Per-service CI/CD pipelines, container orchestration</w:t>
            </w:r>
          </w:p>
        </w:tc>
        <w:tc>
          <w:tcPr>
            <w:tcW w:type="dxa" w:w="2160"/>
          </w:tcPr>
          <w:p>
            <w:r>
              <w:rPr>
                <w:sz w:val="20"/>
              </w:rPr>
              <w:t>Mono</w:t>
            </w:r>
          </w:p>
        </w:tc>
      </w:tr>
      <w:tr>
        <w:tc>
          <w:tcPr>
            <w:tcW w:type="dxa" w:w="2160"/>
          </w:tcPr>
          <w:p>
            <w:r>
              <w:rPr>
                <w:sz w:val="20"/>
              </w:rPr>
              <w:t>Scalability</w:t>
            </w:r>
          </w:p>
        </w:tc>
        <w:tc>
          <w:tcPr>
            <w:tcW w:type="dxa" w:w="2160"/>
          </w:tcPr>
          <w:p>
            <w:r>
              <w:rPr>
                <w:sz w:val="20"/>
              </w:rPr>
              <w:t>Vertical only — scale everything together</w:t>
            </w:r>
          </w:p>
        </w:tc>
        <w:tc>
          <w:tcPr>
            <w:tcW w:type="dxa" w:w="2160"/>
          </w:tcPr>
          <w:p>
            <w:r>
              <w:rPr>
                <w:sz w:val="20"/>
              </w:rPr>
              <w:t>Horizontal, scale each service independently</w:t>
            </w:r>
          </w:p>
        </w:tc>
        <w:tc>
          <w:tcPr>
            <w:tcW w:type="dxa" w:w="2160"/>
          </w:tcPr>
          <w:p>
            <w:r>
              <w:rPr>
                <w:sz w:val="20"/>
              </w:rPr>
              <w:t>Micro</w:t>
            </w:r>
          </w:p>
        </w:tc>
      </w:tr>
      <w:tr>
        <w:tc>
          <w:tcPr>
            <w:tcW w:type="dxa" w:w="2160"/>
          </w:tcPr>
          <w:p>
            <w:r>
              <w:rPr>
                <w:sz w:val="20"/>
              </w:rPr>
              <w:t>Fault Isolation</w:t>
            </w:r>
          </w:p>
        </w:tc>
        <w:tc>
          <w:tcPr>
            <w:tcW w:type="dxa" w:w="2160"/>
          </w:tcPr>
          <w:p>
            <w:r>
              <w:rPr>
                <w:sz w:val="20"/>
              </w:rPr>
              <w:t>One bug crashes the entire app</w:t>
            </w:r>
          </w:p>
        </w:tc>
        <w:tc>
          <w:tcPr>
            <w:tcW w:type="dxa" w:w="2160"/>
          </w:tcPr>
          <w:p>
            <w:r>
              <w:rPr>
                <w:sz w:val="20"/>
              </w:rPr>
              <w:t>Failure stays within one service boundary</w:t>
            </w:r>
          </w:p>
        </w:tc>
        <w:tc>
          <w:tcPr>
            <w:tcW w:type="dxa" w:w="2160"/>
          </w:tcPr>
          <w:p>
            <w:r>
              <w:rPr>
                <w:sz w:val="20"/>
              </w:rPr>
              <w:t>Micro</w:t>
            </w:r>
          </w:p>
        </w:tc>
      </w:tr>
      <w:tr>
        <w:tc>
          <w:tcPr>
            <w:tcW w:type="dxa" w:w="2160"/>
          </w:tcPr>
          <w:p>
            <w:r>
              <w:rPr>
                <w:sz w:val="20"/>
              </w:rPr>
              <w:t>Performance</w:t>
            </w:r>
          </w:p>
        </w:tc>
        <w:tc>
          <w:tcPr>
            <w:tcW w:type="dxa" w:w="2160"/>
          </w:tcPr>
          <w:p>
            <w:r>
              <w:rPr>
                <w:sz w:val="20"/>
              </w:rPr>
              <w:t>In-process calls — no network overhead</w:t>
            </w:r>
          </w:p>
        </w:tc>
        <w:tc>
          <w:tcPr>
            <w:tcW w:type="dxa" w:w="2160"/>
          </w:tcPr>
          <w:p>
            <w:r>
              <w:rPr>
                <w:sz w:val="20"/>
              </w:rPr>
              <w:t>HTTP round-trips add latency</w:t>
            </w:r>
          </w:p>
        </w:tc>
        <w:tc>
          <w:tcPr>
            <w:tcW w:type="dxa" w:w="2160"/>
          </w:tcPr>
          <w:p>
            <w:r>
              <w:rPr>
                <w:sz w:val="20"/>
              </w:rPr>
              <w:t>Mono</w:t>
            </w:r>
          </w:p>
        </w:tc>
      </w:tr>
      <w:tr>
        <w:tc>
          <w:tcPr>
            <w:tcW w:type="dxa" w:w="2160"/>
          </w:tcPr>
          <w:p>
            <w:r>
              <w:rPr>
                <w:sz w:val="20"/>
              </w:rPr>
              <w:t>Team Autonomy</w:t>
            </w:r>
          </w:p>
        </w:tc>
        <w:tc>
          <w:tcPr>
            <w:tcW w:type="dxa" w:w="2160"/>
          </w:tcPr>
          <w:p>
            <w:r>
              <w:rPr>
                <w:sz w:val="20"/>
              </w:rPr>
              <w:t>Shared repo, merge conflicts, coordinated releases</w:t>
            </w:r>
          </w:p>
        </w:tc>
        <w:tc>
          <w:tcPr>
            <w:tcW w:type="dxa" w:w="2160"/>
          </w:tcPr>
          <w:p>
            <w:r>
              <w:rPr>
                <w:sz w:val="20"/>
              </w:rPr>
              <w:t>Independent teams, independent deploys</w:t>
            </w:r>
          </w:p>
        </w:tc>
        <w:tc>
          <w:tcPr>
            <w:tcW w:type="dxa" w:w="2160"/>
          </w:tcPr>
          <w:p>
            <w:r>
              <w:rPr>
                <w:sz w:val="20"/>
              </w:rPr>
              <w:t>Micro</w:t>
            </w:r>
          </w:p>
        </w:tc>
      </w:tr>
      <w:tr>
        <w:tc>
          <w:tcPr>
            <w:tcW w:type="dxa" w:w="2160"/>
          </w:tcPr>
          <w:p>
            <w:r>
              <w:rPr>
                <w:sz w:val="20"/>
              </w:rPr>
              <w:t>Data Management</w:t>
            </w:r>
          </w:p>
        </w:tc>
        <w:tc>
          <w:tcPr>
            <w:tcW w:type="dxa" w:w="2160"/>
          </w:tcPr>
          <w:p>
            <w:r>
              <w:rPr>
                <w:sz w:val="20"/>
              </w:rPr>
              <w:t>ACID transactions trivial across all models</w:t>
            </w:r>
          </w:p>
        </w:tc>
        <w:tc>
          <w:tcPr>
            <w:tcW w:type="dxa" w:w="2160"/>
          </w:tcPr>
          <w:p>
            <w:r>
              <w:rPr>
                <w:sz w:val="20"/>
              </w:rPr>
              <w:t>Eventual consistency, no cross-service joins</w:t>
            </w:r>
          </w:p>
        </w:tc>
        <w:tc>
          <w:tcPr>
            <w:tcW w:type="dxa" w:w="2160"/>
          </w:tcPr>
          <w:p>
            <w:r>
              <w:rPr>
                <w:sz w:val="20"/>
              </w:rPr>
              <w:t>Mono</w:t>
            </w:r>
          </w:p>
        </w:tc>
      </w:tr>
      <w:tr>
        <w:tc>
          <w:tcPr>
            <w:tcW w:type="dxa" w:w="2160"/>
          </w:tcPr>
          <w:p>
            <w:r>
              <w:rPr>
                <w:sz w:val="20"/>
              </w:rPr>
              <w:t>Debugging</w:t>
            </w:r>
          </w:p>
        </w:tc>
        <w:tc>
          <w:tcPr>
            <w:tcW w:type="dxa" w:w="2160"/>
          </w:tcPr>
          <w:p>
            <w:r>
              <w:rPr>
                <w:sz w:val="20"/>
              </w:rPr>
              <w:t>Single stack trace, shared logs</w:t>
            </w:r>
          </w:p>
        </w:tc>
        <w:tc>
          <w:tcPr>
            <w:tcW w:type="dxa" w:w="2160"/>
          </w:tcPr>
          <w:p>
            <w:r>
              <w:rPr>
                <w:sz w:val="20"/>
              </w:rPr>
              <w:t>Distributed tracing required (Jaeger, Zipkin)</w:t>
            </w:r>
          </w:p>
        </w:tc>
        <w:tc>
          <w:tcPr>
            <w:tcW w:type="dxa" w:w="2160"/>
          </w:tcPr>
          <w:p>
            <w:r>
              <w:rPr>
                <w:sz w:val="20"/>
              </w:rPr>
              <w:t>Mono</w:t>
            </w:r>
          </w:p>
        </w:tc>
      </w:tr>
      <w:tr>
        <w:tc>
          <w:tcPr>
            <w:tcW w:type="dxa" w:w="2160"/>
          </w:tcPr>
          <w:p>
            <w:r>
              <w:rPr>
                <w:sz w:val="20"/>
              </w:rPr>
              <w:t>Best For</w:t>
            </w:r>
          </w:p>
        </w:tc>
        <w:tc>
          <w:tcPr>
            <w:tcW w:type="dxa" w:w="2160"/>
          </w:tcPr>
          <w:p>
            <w:r>
              <w:rPr>
                <w:sz w:val="20"/>
              </w:rPr>
              <w:t>Small teams, MVPs, lab projects</w:t>
            </w:r>
          </w:p>
        </w:tc>
        <w:tc>
          <w:tcPr>
            <w:tcW w:type="dxa" w:w="2160"/>
          </w:tcPr>
          <w:p>
            <w:r>
              <w:rPr>
                <w:sz w:val="20"/>
              </w:rPr>
              <w:t>Large orgs, SaaS, independent scaling needs</w:t>
            </w:r>
          </w:p>
        </w:tc>
        <w:tc>
          <w:tcPr>
            <w:tcW w:type="dxa" w:w="2160"/>
          </w:tcPr>
          <w:p>
            <w:r>
              <w:rPr>
                <w:sz w:val="20"/>
              </w:rPr>
              <w:t>Depends</w:t>
            </w:r>
          </w:p>
        </w:tc>
      </w:tr>
    </w:tbl>
    <w:p>
      <w:pPr>
        <w:pStyle w:val="Heading1"/>
      </w:pPr>
      <w:r>
        <w:t>Detailed Comparison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Aspect</w:t>
            </w:r>
          </w:p>
        </w:tc>
        <w:tc>
          <w:tcPr>
            <w:tcW w:type="dxa" w:w="2880"/>
          </w:tcPr>
          <w:p>
            <w:r>
              <w:rPr>
                <w:b/>
                <w:sz w:val="20"/>
              </w:rPr>
              <w:t>Monolithic (academe/)</w:t>
            </w:r>
          </w:p>
        </w:tc>
        <w:tc>
          <w:tcPr>
            <w:tcW w:type="dxa" w:w="2880"/>
          </w:tcPr>
          <w:p>
            <w:r>
              <w:rPr>
                <w:b/>
                <w:sz w:val="20"/>
              </w:rPr>
              <w:t>Microservices (microservices/)</w:t>
            </w:r>
          </w:p>
        </w:tc>
      </w:tr>
      <w:tr>
        <w:tc>
          <w:tcPr>
            <w:tcW w:type="dxa" w:w="2880"/>
          </w:tcPr>
          <w:p>
            <w:r>
              <w:rPr>
                <w:sz w:val="20"/>
              </w:rPr>
              <w:t>Codebase</w:t>
            </w:r>
          </w:p>
        </w:tc>
        <w:tc>
          <w:tcPr>
            <w:tcW w:type="dxa" w:w="2880"/>
          </w:tcPr>
          <w:p>
            <w:r>
              <w:rPr>
                <w:sz w:val="20"/>
              </w:rPr>
              <w:t>Single Laravel project</w:t>
            </w:r>
          </w:p>
        </w:tc>
        <w:tc>
          <w:tcPr>
            <w:tcW w:type="dxa" w:w="2880"/>
          </w:tcPr>
          <w:p>
            <w:r>
              <w:rPr>
                <w:sz w:val="20"/>
              </w:rPr>
              <w:t>Three separate Laravel projects</w:t>
            </w:r>
          </w:p>
        </w:tc>
      </w:tr>
      <w:tr>
        <w:tc>
          <w:tcPr>
            <w:tcW w:type="dxa" w:w="2880"/>
          </w:tcPr>
          <w:p>
            <w:r>
              <w:rPr>
                <w:sz w:val="20"/>
              </w:rPr>
              <w:t>Database</w:t>
            </w:r>
          </w:p>
        </w:tc>
        <w:tc>
          <w:tcPr>
            <w:tcW w:type="dxa" w:w="2880"/>
          </w:tcPr>
          <w:p>
            <w:r>
              <w:rPr>
                <w:sz w:val="20"/>
              </w:rPr>
              <w:t>One shared SQLite file (database.sqlite)</w:t>
            </w:r>
          </w:p>
        </w:tc>
        <w:tc>
          <w:tcPr>
            <w:tcW w:type="dxa" w:w="2880"/>
          </w:tcPr>
          <w:p>
            <w:r>
              <w:rPr>
                <w:sz w:val="20"/>
              </w:rPr>
              <w:t>Three independent SQLite files</w:t>
            </w:r>
          </w:p>
        </w:tc>
      </w:tr>
      <w:tr>
        <w:tc>
          <w:tcPr>
            <w:tcW w:type="dxa" w:w="2880"/>
          </w:tcPr>
          <w:p>
            <w:r>
              <w:rPr>
                <w:sz w:val="20"/>
              </w:rPr>
              <w:t>Port</w:t>
            </w:r>
          </w:p>
        </w:tc>
        <w:tc>
          <w:tcPr>
            <w:tcW w:type="dxa" w:w="2880"/>
          </w:tcPr>
          <w:p>
            <w:r>
              <w:rPr>
                <w:sz w:val="20"/>
              </w:rPr>
              <w:t>8000</w:t>
            </w:r>
          </w:p>
        </w:tc>
        <w:tc>
          <w:tcPr>
            <w:tcW w:type="dxa" w:w="2880"/>
          </w:tcPr>
          <w:p>
            <w:r>
              <w:rPr>
                <w:sz w:val="20"/>
              </w:rPr>
              <w:t>8001, 8002, 8003</w:t>
            </w:r>
          </w:p>
        </w:tc>
      </w:tr>
      <w:tr>
        <w:tc>
          <w:tcPr>
            <w:tcW w:type="dxa" w:w="2880"/>
          </w:tcPr>
          <w:p>
            <w:r>
              <w:rPr>
                <w:sz w:val="20"/>
              </w:rPr>
              <w:t>Inter-service communication</w:t>
            </w:r>
          </w:p>
        </w:tc>
        <w:tc>
          <w:tcPr>
            <w:tcW w:type="dxa" w:w="2880"/>
          </w:tcPr>
          <w:p>
            <w:r>
              <w:rPr>
                <w:sz w:val="20"/>
              </w:rPr>
              <w:t>Direct PHP method calls via Repository Pattern</w:t>
            </w:r>
          </w:p>
        </w:tc>
        <w:tc>
          <w:tcPr>
            <w:tcW w:type="dxa" w:w="2880"/>
          </w:tcPr>
          <w:p>
            <w:r>
              <w:rPr>
                <w:sz w:val="20"/>
              </w:rPr>
              <w:t>Synchronous HTTP (Laravel Http facade with timeout(5))</w:t>
            </w:r>
          </w:p>
        </w:tc>
      </w:tr>
      <w:tr>
        <w:tc>
          <w:tcPr>
            <w:tcW w:type="dxa" w:w="2880"/>
          </w:tcPr>
          <w:p>
            <w:r>
              <w:rPr>
                <w:sz w:val="20"/>
              </w:rPr>
              <w:t>Data consistency</w:t>
            </w:r>
          </w:p>
        </w:tc>
        <w:tc>
          <w:tcPr>
            <w:tcW w:type="dxa" w:w="2880"/>
          </w:tcPr>
          <w:p>
            <w:r>
              <w:rPr>
                <w:sz w:val="20"/>
              </w:rPr>
              <w:t>DB-level foreign keys + Eloquent relationships</w:t>
            </w:r>
          </w:p>
        </w:tc>
        <w:tc>
          <w:tcPr>
            <w:tcW w:type="dxa" w:w="2880"/>
          </w:tcPr>
          <w:p>
            <w:r>
              <w:rPr>
                <w:sz w:val="20"/>
              </w:rPr>
              <w:t>Application-level validation via HTTP calls</w:t>
            </w:r>
          </w:p>
        </w:tc>
      </w:tr>
      <w:tr>
        <w:tc>
          <w:tcPr>
            <w:tcW w:type="dxa" w:w="2880"/>
          </w:tcPr>
          <w:p>
            <w:r>
              <w:rPr>
                <w:sz w:val="20"/>
              </w:rPr>
              <w:t>Cascade deletes</w:t>
            </w:r>
          </w:p>
        </w:tc>
        <w:tc>
          <w:tcPr>
            <w:tcW w:type="dxa" w:w="2880"/>
          </w:tcPr>
          <w:p>
            <w:r>
              <w:rPr>
                <w:sz w:val="20"/>
              </w:rPr>
              <w:t>Repository calls enrollments()-&gt;delete() before parent</w:t>
            </w:r>
          </w:p>
        </w:tc>
        <w:tc>
          <w:tcPr>
            <w:tcW w:type="dxa" w:w="2880"/>
          </w:tcPr>
          <w:p>
            <w:r>
              <w:rPr>
                <w:sz w:val="20"/>
              </w:rPr>
              <w:t>Each service only deletes its own records</w:t>
            </w:r>
          </w:p>
        </w:tc>
      </w:tr>
      <w:tr>
        <w:tc>
          <w:tcPr>
            <w:tcW w:type="dxa" w:w="2880"/>
          </w:tcPr>
          <w:p>
            <w:r>
              <w:rPr>
                <w:sz w:val="20"/>
              </w:rPr>
              <w:t>Error handling</w:t>
            </w:r>
          </w:p>
        </w:tc>
        <w:tc>
          <w:tcPr>
            <w:tcW w:type="dxa" w:w="2880"/>
          </w:tcPr>
          <w:p>
            <w:r>
              <w:rPr>
                <w:sz w:val="20"/>
              </w:rPr>
              <w:t>Laravel exception handler → uniform 404</w:t>
            </w:r>
          </w:p>
        </w:tc>
        <w:tc>
          <w:tcPr>
            <w:tcW w:type="dxa" w:w="2880"/>
          </w:tcPr>
          <w:p>
            <w:r>
              <w:rPr>
                <w:sz w:val="20"/>
              </w:rPr>
              <w:t>Controllers catch HTTP codes + ConnectionException → 400/404/409/503/504</w:t>
            </w:r>
          </w:p>
        </w:tc>
      </w:tr>
      <w:tr>
        <w:tc>
          <w:tcPr>
            <w:tcW w:type="dxa" w:w="2880"/>
          </w:tcPr>
          <w:p>
            <w:r>
              <w:rPr>
                <w:sz w:val="20"/>
              </w:rPr>
              <w:t>Response format</w:t>
            </w:r>
          </w:p>
        </w:tc>
        <w:tc>
          <w:tcPr>
            <w:tcW w:type="dxa" w:w="2880"/>
          </w:tcPr>
          <w:p>
            <w:r>
              <w:rPr>
                <w:sz w:val="20"/>
              </w:rPr>
              <w:t>Blade views (HTML) for web; JSON for API</w:t>
            </w:r>
          </w:p>
        </w:tc>
        <w:tc>
          <w:tcPr>
            <w:tcW w:type="dxa" w:w="2880"/>
          </w:tcPr>
          <w:p>
            <w:r>
              <w:rPr>
                <w:sz w:val="20"/>
              </w:rPr>
              <w:t>JSON API ({"data":...,"message":"..."})</w:t>
            </w:r>
          </w:p>
        </w:tc>
      </w:tr>
      <w:tr>
        <w:tc>
          <w:tcPr>
            <w:tcW w:type="dxa" w:w="2880"/>
          </w:tcPr>
          <w:p>
            <w:r>
              <w:rPr>
                <w:sz w:val="20"/>
              </w:rPr>
              <w:t>Validation</w:t>
            </w:r>
          </w:p>
        </w:tc>
        <w:tc>
          <w:tcPr>
            <w:tcW w:type="dxa" w:w="2880"/>
          </w:tcPr>
          <w:p>
            <w:r>
              <w:rPr>
                <w:sz w:val="20"/>
              </w:rPr>
              <w:t>FormRequest classes (StoreStudentRequest, etc.)</w:t>
            </w:r>
          </w:p>
        </w:tc>
        <w:tc>
          <w:tcPr>
            <w:tcW w:type="dxa" w:w="2880"/>
          </w:tcPr>
          <w:p>
            <w:r>
              <w:rPr>
                <w:sz w:val="20"/>
              </w:rPr>
              <w:t>Validator::make() in controllers</w:t>
            </w:r>
          </w:p>
        </w:tc>
      </w:tr>
      <w:tr>
        <w:tc>
          <w:tcPr>
            <w:tcW w:type="dxa" w:w="2880"/>
          </w:tcPr>
          <w:p>
            <w:r>
              <w:rPr>
                <w:sz w:val="20"/>
              </w:rPr>
              <w:t>Duplicate checks</w:t>
            </w:r>
          </w:p>
        </w:tc>
        <w:tc>
          <w:tcPr>
            <w:tcW w:type="dxa" w:w="2880"/>
          </w:tcPr>
          <w:p>
            <w:r>
              <w:rPr>
                <w:sz w:val="20"/>
              </w:rPr>
              <w:t>unique:students rule in StoreStudentRequest</w:t>
            </w:r>
          </w:p>
        </w:tc>
        <w:tc>
          <w:tcPr>
            <w:tcW w:type="dxa" w:w="2880"/>
          </w:tcPr>
          <w:p>
            <w:r>
              <w:rPr>
                <w:sz w:val="20"/>
              </w:rPr>
              <w:t>Student::where('email', ...)-&gt;exists() in controller</w:t>
            </w:r>
          </w:p>
        </w:tc>
      </w:tr>
      <w:tr>
        <w:tc>
          <w:tcPr>
            <w:tcW w:type="dxa" w:w="2880"/>
          </w:tcPr>
          <w:p>
            <w:r>
              <w:rPr>
                <w:sz w:val="20"/>
              </w:rPr>
              <w:t>FK checks on enrollment</w:t>
            </w:r>
          </w:p>
        </w:tc>
        <w:tc>
          <w:tcPr>
            <w:tcW w:type="dxa" w:w="2880"/>
          </w:tcPr>
          <w:p>
            <w:r>
              <w:rPr>
                <w:sz w:val="20"/>
              </w:rPr>
              <w:t>exists:students,id / exists:courses,id rules</w:t>
            </w:r>
          </w:p>
        </w:tc>
        <w:tc>
          <w:tcPr>
            <w:tcW w:type="dxa" w:w="2880"/>
          </w:tcPr>
          <w:p>
            <w:r>
              <w:rPr>
                <w:sz w:val="20"/>
              </w:rPr>
              <w:t>HTTP GET to student-service / course-service</w:t>
            </w:r>
          </w:p>
        </w:tc>
      </w:tr>
      <w:tr>
        <w:tc>
          <w:tcPr>
            <w:tcW w:type="dxa" w:w="2880"/>
          </w:tcPr>
          <w:p>
            <w:r>
              <w:rPr>
                <w:sz w:val="20"/>
              </w:rPr>
              <w:t>Failure modes</w:t>
            </w:r>
          </w:p>
        </w:tc>
        <w:tc>
          <w:tcPr>
            <w:tcW w:type="dxa" w:w="2880"/>
          </w:tcPr>
          <w:p>
            <w:r>
              <w:rPr>
                <w:sz w:val="20"/>
              </w:rPr>
              <w:t>Database errors only</w:t>
            </w:r>
          </w:p>
        </w:tc>
        <w:tc>
          <w:tcPr>
            <w:tcW w:type="dxa" w:w="2880"/>
          </w:tcPr>
          <w:p>
            <w:r>
              <w:rPr>
                <w:sz w:val="20"/>
              </w:rPr>
              <w:t>503 (service down), 504 (timeout), plus DB errors</w:t>
            </w:r>
          </w:p>
        </w:tc>
      </w:tr>
      <w:tr>
        <w:tc>
          <w:tcPr>
            <w:tcW w:type="dxa" w:w="2880"/>
          </w:tcPr>
          <w:p>
            <w:r>
              <w:rPr>
                <w:sz w:val="20"/>
              </w:rPr>
              <w:t>Timeout handling</w:t>
            </w:r>
          </w:p>
        </w:tc>
        <w:tc>
          <w:tcPr>
            <w:tcW w:type="dxa" w:w="2880"/>
          </w:tcPr>
          <w:p>
            <w:r>
              <w:rPr>
                <w:sz w:val="20"/>
              </w:rPr>
              <w:t>N/A (in-process)</w:t>
            </w:r>
          </w:p>
        </w:tc>
        <w:tc>
          <w:tcPr>
            <w:tcW w:type="dxa" w:w="2880"/>
          </w:tcPr>
          <w:p>
            <w:r>
              <w:rPr>
                <w:sz w:val="20"/>
              </w:rPr>
              <w:t>Http::timeout(5) + ConnectionException catch</w:t>
            </w:r>
          </w:p>
        </w:tc>
      </w:tr>
    </w:tbl>
    <w:p>
      <w:pPr>
        <w:pStyle w:val="Heading1"/>
      </w:pPr>
      <w:r>
        <w:t>Key Architectural Trade-offs</w:t>
      </w:r>
    </w:p>
    <w:p>
      <w:pPr>
        <w:pStyle w:val="Heading2"/>
      </w:pPr>
      <w:r>
        <w:t>1. Data Integrity</w:t>
      </w:r>
    </w:p>
    <w:p>
      <w:r>
        <w:rPr>
          <w:b w:val="0"/>
        </w:rPr>
        <w:t>The monolith guarantees referential integrity through database foreign keys and Eloquent exists: validation rules. If a student is deleted, their enrollments are cascade-deleted in the same database transaction.</w:t>
      </w:r>
    </w:p>
    <w:p>
      <w:r>
        <w:rPr>
          <w:b w:val="0"/>
        </w:rPr>
        <w:t>In microservices, the enrollment service stores student_id and course_id as plain integers with no foreign key constraints. Integrity is checked at write time via HTTP calls, but there is no mechanism to remove orphaned enrollments if a student is deleted.</w:t>
      </w:r>
    </w:p>
    <w:p>
      <w:pPr>
        <w:pStyle w:val="Heading2"/>
      </w:pPr>
      <w:r>
        <w:t>2. Performance</w:t>
      </w:r>
    </w:p>
    <w:p>
      <w:r>
        <w:rPr>
          <w:b w:val="0"/>
        </w:rPr>
        <w:t>The monolith resolves all data in one process with zero network overhead. A single SQL query with Eloquent eager loading fetches an enrollment and its related data.</w:t>
      </w:r>
    </w:p>
    <w:p>
      <w:r>
        <w:rPr>
          <w:b w:val="0"/>
        </w:rPr>
        <w:t>In microservices, fetching an enrollment requires three steps: (1) read from local DB, (2) HTTP GET to student-service, (3) HTTP GET to course-service. Each network call adds latency and introduces failure modes.</w:t>
      </w:r>
    </w:p>
    <w:p>
      <w:pPr>
        <w:pStyle w:val="Heading2"/>
      </w:pPr>
      <w:r>
        <w:t>3. Fault Isolation</w:t>
      </w:r>
    </w:p>
    <w:p>
      <w:r>
        <w:rPr>
          <w:b w:val="0"/>
        </w:rPr>
        <w:t>If the monolith's database crashes, everything stops. There is no partial availability.</w:t>
      </w:r>
    </w:p>
    <w:p>
      <w:r>
        <w:rPr>
          <w:b w:val="0"/>
        </w:rPr>
        <w:t>In microservices, a failure in the student service does not stop the course service. The enrollment service degrades gracefully — reads that require enrichment return 503, but the course listing at :8002/api/courses remains unaffected.</w:t>
      </w:r>
    </w:p>
    <w:p>
      <w:pPr>
        <w:pStyle w:val="Heading2"/>
      </w:pPr>
      <w:r>
        <w:t>4. Backend Switch</w:t>
      </w:r>
    </w:p>
    <w:p>
      <w:r>
        <w:rPr>
          <w:b w:val="0"/>
        </w:rPr>
        <w:t>The APP_BACKEND toggle demonstrates that the data source is abstracted from the controller's perspective. Repository interfaces and service clients share the same conceptual API. The controller branches on config('backend.mode') and calls the appropriate implementation. The Repository Pattern is the bridge that makes this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66666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