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3A9" w:rsidRPr="00934942" w:rsidRDefault="00A62236">
      <w:pPr>
        <w:spacing w:after="120"/>
        <w:jc w:val="center"/>
        <w:rPr>
          <w:sz w:val="22"/>
        </w:rPr>
      </w:pPr>
      <w:r w:rsidRPr="00934942">
        <w:rPr>
          <w:b/>
          <w:sz w:val="22"/>
        </w:rPr>
        <w:t>Architecture Comparison — Monolithic vs Microservices</w:t>
      </w:r>
    </w:p>
    <w:p w:rsidR="00ED33A9" w:rsidRPr="00934942" w:rsidRDefault="00A62236">
      <w:pPr>
        <w:spacing w:after="240"/>
        <w:jc w:val="center"/>
        <w:rPr>
          <w:sz w:val="22"/>
        </w:rPr>
      </w:pPr>
      <w:r w:rsidRPr="00934942">
        <w:rPr>
          <w:sz w:val="22"/>
        </w:rPr>
        <w:t>Sagum, Patrick R.; Henson, Princess Terana Caram Rasonable;</w:t>
      </w:r>
      <w:r w:rsidRPr="00934942">
        <w:rPr>
          <w:sz w:val="22"/>
        </w:rPr>
        <w:br/>
      </w:r>
      <w:r w:rsidRPr="00934942">
        <w:rPr>
          <w:sz w:val="22"/>
        </w:rPr>
        <w:t>Gargarita, Trisha Faith Casiano; Mogat, Ela Mae Trojillo;</w:t>
      </w:r>
      <w:r w:rsidRPr="00934942">
        <w:rPr>
          <w:sz w:val="22"/>
        </w:rPr>
        <w:br/>
      </w:r>
      <w:r w:rsidRPr="00934942">
        <w:rPr>
          <w:sz w:val="22"/>
        </w:rPr>
        <w:t>Tibo-oc, Paul Felippe Gelle</w:t>
      </w:r>
      <w:r w:rsidRPr="00934942">
        <w:rPr>
          <w:sz w:val="22"/>
        </w:rPr>
        <w:br/>
      </w:r>
      <w:r w:rsidRPr="00934942">
        <w:rPr>
          <w:i/>
          <w:sz w:val="22"/>
        </w:rPr>
        <w:t>Information Technology, College of Computer Studies</w:t>
      </w:r>
      <w:r w:rsidRPr="00934942">
        <w:rPr>
          <w:sz w:val="22"/>
        </w:rPr>
        <w:br/>
      </w:r>
      <w:r w:rsidRPr="00934942">
        <w:rPr>
          <w:i/>
          <w:sz w:val="22"/>
        </w:rPr>
        <w:t>Carlos Hilado Memorial State University</w:t>
      </w:r>
    </w:p>
    <w:p w:rsidR="00ED33A9" w:rsidRPr="00934942" w:rsidRDefault="00A62236">
      <w:pPr>
        <w:rPr>
          <w:sz w:val="22"/>
        </w:rPr>
      </w:pPr>
      <w:r w:rsidRPr="00934942">
        <w:rPr>
          <w:sz w:val="22"/>
        </w:rPr>
        <w:t>This document compares the monolithic and microservices architectures implemented in the Academe student course management system. Both architectures use the same MVCR pattern and serve the same functionality — the d</w:t>
      </w:r>
      <w:r w:rsidRPr="00934942">
        <w:rPr>
          <w:sz w:val="22"/>
        </w:rPr>
        <w:t>ifference lies in how the system is deployed, how services communicate, and how failures propagate. The table below summarizes the key trade-offs observed during development and testing.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D33A9" w:rsidRPr="00934942">
        <w:trPr>
          <w:jc w:val="center"/>
        </w:trPr>
        <w:tc>
          <w:tcPr>
            <w:tcW w:w="3120" w:type="dxa"/>
            <w:shd w:val="clear" w:color="auto" w:fill="2F5496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b/>
                <w:color w:val="FFFFFF"/>
                <w:sz w:val="22"/>
              </w:rPr>
              <w:t>Criteria</w:t>
            </w:r>
          </w:p>
        </w:tc>
        <w:tc>
          <w:tcPr>
            <w:tcW w:w="3120" w:type="dxa"/>
            <w:shd w:val="clear" w:color="auto" w:fill="2F5496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b/>
                <w:color w:val="FFFFFF"/>
                <w:sz w:val="22"/>
              </w:rPr>
              <w:t>Monolithic</w:t>
            </w:r>
          </w:p>
        </w:tc>
        <w:tc>
          <w:tcPr>
            <w:tcW w:w="3120" w:type="dxa"/>
            <w:shd w:val="clear" w:color="auto" w:fill="2F5496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b/>
                <w:color w:val="FFFFFF"/>
                <w:sz w:val="22"/>
              </w:rPr>
              <w:t>Microservices</w:t>
            </w:r>
          </w:p>
        </w:tc>
      </w:tr>
      <w:tr w:rsidR="00ED33A9" w:rsidRPr="00934942">
        <w:trPr>
          <w:jc w:val="center"/>
        </w:trPr>
        <w:tc>
          <w:tcPr>
            <w:tcW w:w="3120" w:type="dxa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Development</w:t>
            </w:r>
          </w:p>
        </w:tc>
        <w:tc>
          <w:tcPr>
            <w:tcW w:w="3120" w:type="dxa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Single codebase, share</w:t>
            </w:r>
            <w:r w:rsidRPr="00934942">
              <w:rPr>
                <w:sz w:val="22"/>
              </w:rPr>
              <w:t>d DI, one DB</w:t>
            </w:r>
          </w:p>
        </w:tc>
        <w:tc>
          <w:tcPr>
            <w:tcW w:w="3120" w:type="dxa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3 apps, 3 DBs, HTTP wiring required</w:t>
            </w:r>
          </w:p>
        </w:tc>
      </w:tr>
      <w:tr w:rsidR="00ED33A9" w:rsidRPr="00934942">
        <w:trPr>
          <w:jc w:val="center"/>
        </w:trPr>
        <w:tc>
          <w:tcPr>
            <w:tcW w:w="3120" w:type="dxa"/>
            <w:shd w:val="clear" w:color="auto" w:fill="F2F2F2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Deployment</w:t>
            </w:r>
          </w:p>
        </w:tc>
        <w:tc>
          <w:tcPr>
            <w:tcW w:w="3120" w:type="dxa"/>
            <w:shd w:val="clear" w:color="auto" w:fill="F2F2F2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One command — php artisan serve</w:t>
            </w:r>
          </w:p>
        </w:tc>
        <w:tc>
          <w:tcPr>
            <w:tcW w:w="3120" w:type="dxa"/>
            <w:shd w:val="clear" w:color="auto" w:fill="F2F2F2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4 terminals, startup order matters</w:t>
            </w:r>
          </w:p>
        </w:tc>
      </w:tr>
      <w:tr w:rsidR="00ED33A9" w:rsidRPr="00934942">
        <w:trPr>
          <w:jc w:val="center"/>
        </w:trPr>
        <w:tc>
          <w:tcPr>
            <w:tcW w:w="3120" w:type="dxa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Scalability</w:t>
            </w:r>
          </w:p>
        </w:tc>
        <w:tc>
          <w:tcPr>
            <w:tcW w:w="3120" w:type="dxa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Entire app scales as one unit</w:t>
            </w:r>
          </w:p>
        </w:tc>
        <w:tc>
          <w:tcPr>
            <w:tcW w:w="3120" w:type="dxa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Each service scales independently</w:t>
            </w:r>
          </w:p>
        </w:tc>
      </w:tr>
      <w:tr w:rsidR="00ED33A9" w:rsidRPr="00934942">
        <w:trPr>
          <w:jc w:val="center"/>
        </w:trPr>
        <w:tc>
          <w:tcPr>
            <w:tcW w:w="3120" w:type="dxa"/>
            <w:shd w:val="clear" w:color="auto" w:fill="F2F2F2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Failure Impact</w:t>
            </w:r>
          </w:p>
        </w:tc>
        <w:tc>
          <w:tcPr>
            <w:tcW w:w="3120" w:type="dxa"/>
            <w:shd w:val="clear" w:color="auto" w:fill="F2F2F2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One bug affects entire system</w:t>
            </w:r>
          </w:p>
        </w:tc>
        <w:tc>
          <w:tcPr>
            <w:tcW w:w="3120" w:type="dxa"/>
            <w:shd w:val="clear" w:color="auto" w:fill="F2F2F2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Failures isolated per service</w:t>
            </w:r>
          </w:p>
        </w:tc>
      </w:tr>
      <w:tr w:rsidR="00ED33A9" w:rsidRPr="00934942">
        <w:trPr>
          <w:jc w:val="center"/>
        </w:trPr>
        <w:tc>
          <w:tcPr>
            <w:tcW w:w="3120" w:type="dxa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Performance</w:t>
            </w:r>
          </w:p>
        </w:tc>
        <w:tc>
          <w:tcPr>
            <w:tcW w:w="3120" w:type="dxa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Zero HTTP overhead, in-process</w:t>
            </w:r>
          </w:p>
        </w:tc>
        <w:tc>
          <w:tcPr>
            <w:tcW w:w="3120" w:type="dxa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Network latency on every API call</w:t>
            </w:r>
          </w:p>
        </w:tc>
      </w:tr>
      <w:tr w:rsidR="00ED33A9" w:rsidRPr="00934942">
        <w:trPr>
          <w:jc w:val="center"/>
        </w:trPr>
        <w:tc>
          <w:tcPr>
            <w:tcW w:w="3120" w:type="dxa"/>
            <w:shd w:val="clear" w:color="auto" w:fill="F2F2F2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Cascade Delete</w:t>
            </w:r>
          </w:p>
        </w:tc>
        <w:tc>
          <w:tcPr>
            <w:tcW w:w="3120" w:type="dxa"/>
            <w:shd w:val="clear" w:color="auto" w:fill="F2F2F2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Automatic via Repository layer</w:t>
            </w:r>
          </w:p>
        </w:tc>
        <w:tc>
          <w:tcPr>
            <w:tcW w:w="3120" w:type="dxa"/>
            <w:shd w:val="clear" w:color="auto" w:fill="F2F2F2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Manual — cross-service trade-off</w:t>
            </w:r>
          </w:p>
        </w:tc>
      </w:tr>
      <w:tr w:rsidR="00ED33A9" w:rsidRPr="00934942">
        <w:trPr>
          <w:jc w:val="center"/>
        </w:trPr>
        <w:tc>
          <w:tcPr>
            <w:tcW w:w="3120" w:type="dxa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Data Consistency</w:t>
            </w:r>
          </w:p>
        </w:tc>
        <w:tc>
          <w:tcPr>
            <w:tcW w:w="3120" w:type="dxa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>Single DB guarantees ACID</w:t>
            </w:r>
          </w:p>
        </w:tc>
        <w:tc>
          <w:tcPr>
            <w:tcW w:w="3120" w:type="dxa"/>
          </w:tcPr>
          <w:p w:rsidR="00ED33A9" w:rsidRPr="00934942" w:rsidRDefault="00A62236">
            <w:pPr>
              <w:rPr>
                <w:sz w:val="22"/>
              </w:rPr>
            </w:pPr>
            <w:r w:rsidRPr="00934942">
              <w:rPr>
                <w:sz w:val="22"/>
              </w:rPr>
              <w:t xml:space="preserve">Eventual consistency </w:t>
            </w:r>
            <w:r w:rsidRPr="00934942">
              <w:rPr>
                <w:sz w:val="22"/>
              </w:rPr>
              <w:t>only</w:t>
            </w:r>
          </w:p>
        </w:tc>
      </w:tr>
    </w:tbl>
    <w:p w:rsidR="00934942" w:rsidRDefault="00934942" w:rsidP="00934942">
      <w:pPr>
        <w:jc w:val="center"/>
        <w:rPr>
          <w:b/>
          <w:i/>
          <w:sz w:val="22"/>
        </w:rPr>
      </w:pPr>
    </w:p>
    <w:p w:rsidR="00934942" w:rsidRDefault="00934942" w:rsidP="00934942">
      <w:pPr>
        <w:jc w:val="center"/>
        <w:rPr>
          <w:b/>
          <w:i/>
          <w:sz w:val="22"/>
        </w:rPr>
      </w:pPr>
    </w:p>
    <w:p w:rsidR="00934942" w:rsidRDefault="00934942" w:rsidP="00934942">
      <w:pPr>
        <w:jc w:val="center"/>
        <w:rPr>
          <w:b/>
          <w:i/>
          <w:sz w:val="22"/>
        </w:rPr>
      </w:pPr>
    </w:p>
    <w:p w:rsidR="00934942" w:rsidRDefault="00934942" w:rsidP="00934942">
      <w:pPr>
        <w:jc w:val="center"/>
        <w:rPr>
          <w:b/>
          <w:i/>
          <w:sz w:val="22"/>
        </w:rPr>
      </w:pPr>
    </w:p>
    <w:p w:rsidR="00934942" w:rsidRDefault="00934942" w:rsidP="00934942">
      <w:pPr>
        <w:jc w:val="center"/>
        <w:rPr>
          <w:b/>
          <w:i/>
          <w:sz w:val="22"/>
        </w:rPr>
      </w:pPr>
    </w:p>
    <w:p w:rsidR="00934942" w:rsidRDefault="00934942" w:rsidP="00934942">
      <w:pPr>
        <w:jc w:val="center"/>
        <w:rPr>
          <w:b/>
          <w:i/>
          <w:sz w:val="22"/>
        </w:rPr>
      </w:pPr>
    </w:p>
    <w:p w:rsidR="00934942" w:rsidRDefault="00934942" w:rsidP="00934942">
      <w:pPr>
        <w:jc w:val="center"/>
        <w:rPr>
          <w:b/>
          <w:i/>
          <w:sz w:val="22"/>
        </w:rPr>
      </w:pPr>
    </w:p>
    <w:p w:rsidR="00934942" w:rsidRPr="00934942" w:rsidRDefault="00934942" w:rsidP="00934942">
      <w:pPr>
        <w:jc w:val="center"/>
        <w:rPr>
          <w:b/>
          <w:sz w:val="22"/>
        </w:rPr>
      </w:pPr>
      <w:r w:rsidRPr="00934942">
        <w:rPr>
          <w:b/>
          <w:i/>
          <w:sz w:val="22"/>
        </w:rPr>
        <w:lastRenderedPageBreak/>
        <w:t>"Live comparison table from the Academe architecture page with active backend column highlighted"</w:t>
      </w:r>
      <w:bookmarkStart w:id="0" w:name="_GoBack"/>
      <w:bookmarkEnd w:id="0"/>
    </w:p>
    <w:p w:rsidR="00ED33A9" w:rsidRPr="00934942" w:rsidRDefault="00934942" w:rsidP="00934942">
      <w:pPr>
        <w:jc w:val="center"/>
        <w:rPr>
          <w:sz w:val="22"/>
        </w:rPr>
      </w:pPr>
      <w:r w:rsidRPr="00934942">
        <w:rPr>
          <w:sz w:val="22"/>
        </w:rPr>
        <w:drawing>
          <wp:inline distT="0" distB="0" distL="0" distR="0" wp14:anchorId="615BDA5C" wp14:editId="1BD4DCC2">
            <wp:extent cx="6330315" cy="356080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9107" cy="358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3A9" w:rsidRPr="00934942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236" w:rsidRDefault="00A62236">
      <w:pPr>
        <w:spacing w:after="0" w:line="240" w:lineRule="auto"/>
      </w:pPr>
      <w:r>
        <w:separator/>
      </w:r>
    </w:p>
  </w:endnote>
  <w:endnote w:type="continuationSeparator" w:id="0">
    <w:p w:rsidR="00A62236" w:rsidRDefault="00A62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3A9" w:rsidRDefault="00A62236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</w:instrText>
    </w:r>
    <w:r w:rsidR="00934942">
      <w:fldChar w:fldCharType="separate"/>
    </w:r>
    <w:r w:rsidR="00D34869">
      <w:rPr>
        <w:noProof/>
      </w:rPr>
      <w:t>2</w:t>
    </w:r>
    <w:r>
      <w:fldChar w:fldCharType="end"/>
    </w:r>
    <w:r>
      <w:rPr>
        <w:sz w:val="18"/>
      </w:rPr>
      <w:t xml:space="preserve"> of </w:t>
    </w:r>
    <w:r>
      <w:fldChar w:fldCharType="begin"/>
    </w:r>
    <w:r>
      <w:instrText xml:space="preserve"> NUMPAGES </w:instrText>
    </w:r>
    <w:r w:rsidR="00934942">
      <w:fldChar w:fldCharType="separate"/>
    </w:r>
    <w:r w:rsidR="00D3486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236" w:rsidRDefault="00A62236">
      <w:pPr>
        <w:spacing w:after="0" w:line="240" w:lineRule="auto"/>
      </w:pPr>
      <w:r>
        <w:separator/>
      </w:r>
    </w:p>
  </w:footnote>
  <w:footnote w:type="continuationSeparator" w:id="0">
    <w:p w:rsidR="00A62236" w:rsidRDefault="00A62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3A9" w:rsidRDefault="00A62236">
    <w:pPr>
      <w:pStyle w:val="Header"/>
      <w:jc w:val="center"/>
    </w:pPr>
    <w:r>
      <w:rPr>
        <w:i/>
        <w:sz w:val="18"/>
      </w:rPr>
      <w:t>ITSAR2 313 – SYSTEM INTEGRATION AND ARCHITECTURE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4942"/>
    <w:rsid w:val="00A62236"/>
    <w:rsid w:val="00AA1D8D"/>
    <w:rsid w:val="00B47730"/>
    <w:rsid w:val="00CB0664"/>
    <w:rsid w:val="00D34869"/>
    <w:rsid w:val="00ED3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CF8C4"/>
  <w14:defaultImageDpi w14:val="300"/>
  <w15:docId w15:val="{A8EC84D9-86E1-4E55-B637-5F4D7A77F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mbria" w:hAnsi="Cambria" w:cs="Cambr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B593A6-91A2-407D-8E69-654BBC635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Sagum</cp:lastModifiedBy>
  <cp:revision>2</cp:revision>
  <dcterms:created xsi:type="dcterms:W3CDTF">2013-12-23T23:15:00Z</dcterms:created>
  <dcterms:modified xsi:type="dcterms:W3CDTF">2026-03-12T01:23:00Z</dcterms:modified>
  <cp:category/>
</cp:coreProperties>
</file>