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6F7" w:rsidRPr="00864301" w:rsidRDefault="00851C10">
      <w:pPr>
        <w:spacing w:after="120"/>
        <w:jc w:val="center"/>
        <w:rPr>
          <w:sz w:val="22"/>
        </w:rPr>
      </w:pPr>
      <w:r w:rsidRPr="00864301">
        <w:rPr>
          <w:b/>
          <w:sz w:val="22"/>
        </w:rPr>
        <w:t>Architecture Reflection</w:t>
      </w:r>
    </w:p>
    <w:p w:rsidR="00CB46F7" w:rsidRPr="00864301" w:rsidRDefault="00851C10">
      <w:pPr>
        <w:spacing w:after="240"/>
        <w:jc w:val="center"/>
        <w:rPr>
          <w:sz w:val="22"/>
        </w:rPr>
      </w:pPr>
      <w:r w:rsidRPr="00864301">
        <w:rPr>
          <w:sz w:val="22"/>
        </w:rPr>
        <w:t>Sagum, Patrick R.; Henson, Princess Terana Caram Rasonable;</w:t>
      </w:r>
      <w:r w:rsidRPr="00864301">
        <w:rPr>
          <w:sz w:val="22"/>
        </w:rPr>
        <w:br/>
      </w:r>
      <w:r w:rsidRPr="00864301">
        <w:rPr>
          <w:sz w:val="22"/>
        </w:rPr>
        <w:t>Gargarita, Trisha Faith Casiano; Mogat, Ela Mae Trojillo;</w:t>
      </w:r>
      <w:r w:rsidRPr="00864301">
        <w:rPr>
          <w:sz w:val="22"/>
        </w:rPr>
        <w:br/>
      </w:r>
      <w:r w:rsidRPr="00864301">
        <w:rPr>
          <w:sz w:val="22"/>
        </w:rPr>
        <w:t>Tibo-oc, Paul Felippe Gelle</w:t>
      </w:r>
      <w:r w:rsidRPr="00864301">
        <w:rPr>
          <w:sz w:val="22"/>
        </w:rPr>
        <w:br/>
      </w:r>
      <w:r w:rsidRPr="00864301">
        <w:rPr>
          <w:i/>
          <w:sz w:val="22"/>
        </w:rPr>
        <w:t>Information Technology, Co</w:t>
      </w:r>
      <w:bookmarkStart w:id="0" w:name="_GoBack"/>
      <w:bookmarkEnd w:id="0"/>
      <w:r w:rsidRPr="00864301">
        <w:rPr>
          <w:i/>
          <w:sz w:val="22"/>
        </w:rPr>
        <w:t>llege of Computer Studies</w:t>
      </w:r>
      <w:r w:rsidRPr="00864301">
        <w:rPr>
          <w:sz w:val="22"/>
        </w:rPr>
        <w:br/>
      </w:r>
      <w:r w:rsidRPr="00864301">
        <w:rPr>
          <w:i/>
          <w:sz w:val="22"/>
        </w:rPr>
        <w:t xml:space="preserve">Carlos Hilado Memorial State </w:t>
      </w:r>
      <w:r w:rsidRPr="00864301">
        <w:rPr>
          <w:i/>
          <w:sz w:val="22"/>
        </w:rPr>
        <w:t>University</w:t>
      </w:r>
    </w:p>
    <w:p w:rsidR="00CB46F7" w:rsidRPr="00864301" w:rsidRDefault="00851C10">
      <w:pPr>
        <w:spacing w:before="240" w:after="120"/>
        <w:rPr>
          <w:sz w:val="22"/>
        </w:rPr>
      </w:pPr>
      <w:r w:rsidRPr="00864301">
        <w:rPr>
          <w:b/>
          <w:sz w:val="22"/>
        </w:rPr>
        <w:t>Preferred Architecture: Monolithic</w:t>
      </w:r>
    </w:p>
    <w:p w:rsidR="00CB46F7" w:rsidRPr="00864301" w:rsidRDefault="00851C10">
      <w:pPr>
        <w:rPr>
          <w:sz w:val="22"/>
        </w:rPr>
      </w:pPr>
      <w:r w:rsidRPr="00864301">
        <w:rPr>
          <w:sz w:val="22"/>
        </w:rPr>
        <w:t>For a student course management system of this scale, the monolithic architecture is the correct choice. A single codebase means one repository, one deployment command, and one database with full ACID guarantee</w:t>
      </w:r>
      <w:r w:rsidRPr="00864301">
        <w:rPr>
          <w:sz w:val="22"/>
        </w:rPr>
        <w:t>s. Cascade deletes are automatic — the Repository layer calls deleteByStudent() before removing the student record, ensuring referential integrity in a single transaction. In microservices, the same operation would require domain events dispatched across s</w:t>
      </w:r>
      <w:r w:rsidRPr="00864301">
        <w:rPr>
          <w:sz w:val="22"/>
        </w:rPr>
        <w:t>ervice boundaries, adding complexity with no benefit at this team size.</w:t>
      </w:r>
    </w:p>
    <w:p w:rsidR="00CB46F7" w:rsidRPr="00864301" w:rsidRDefault="00851C10">
      <w:pPr>
        <w:spacing w:before="240" w:after="120"/>
        <w:rPr>
          <w:sz w:val="22"/>
        </w:rPr>
      </w:pPr>
      <w:r w:rsidRPr="00864301">
        <w:rPr>
          <w:b/>
          <w:sz w:val="22"/>
        </w:rPr>
        <w:t>What MVCR Added Over Plain MVC</w:t>
      </w:r>
    </w:p>
    <w:p w:rsidR="00CB46F7" w:rsidRPr="00864301" w:rsidRDefault="00851C10">
      <w:pPr>
        <w:rPr>
          <w:sz w:val="22"/>
        </w:rPr>
      </w:pPr>
      <w:r w:rsidRPr="00864301">
        <w:rPr>
          <w:sz w:val="22"/>
        </w:rPr>
        <w:t xml:space="preserve">The Repository Interface is the reason the ENV switch works at all. The Controller calls an interface — it has no idea whether a Repository or a Service </w:t>
      </w:r>
      <w:r w:rsidRPr="00864301">
        <w:rPr>
          <w:sz w:val="22"/>
        </w:rPr>
        <w:t>Client is on the other side. Swapping backends is a config change, not a code change. Plain MVC would have baked Eloquent directly into the Controller, making the switch impossible without a full rewrite. Each controller method is three to five lines becau</w:t>
      </w:r>
      <w:r w:rsidRPr="00864301">
        <w:rPr>
          <w:sz w:val="22"/>
        </w:rPr>
        <w:t>se the data access logic lives entirely behind the interface. The Controller orchestrates; it does not query.</w:t>
      </w:r>
    </w:p>
    <w:p w:rsidR="00CB46F7" w:rsidRPr="00864301" w:rsidRDefault="00851C10">
      <w:pPr>
        <w:spacing w:before="240" w:after="120"/>
        <w:rPr>
          <w:sz w:val="22"/>
        </w:rPr>
      </w:pPr>
      <w:r w:rsidRPr="00864301">
        <w:rPr>
          <w:b/>
          <w:sz w:val="22"/>
        </w:rPr>
        <w:t>Where Microservices Win</w:t>
      </w:r>
    </w:p>
    <w:p w:rsidR="00CB46F7" w:rsidRPr="00864301" w:rsidRDefault="00851C10">
      <w:pPr>
        <w:rPr>
          <w:sz w:val="22"/>
        </w:rPr>
      </w:pPr>
      <w:r w:rsidRPr="00864301">
        <w:rPr>
          <w:sz w:val="22"/>
        </w:rPr>
        <w:t>Independent scaling is the primary advantage — student-service can scale horizontally without touching course-service or e</w:t>
      </w:r>
      <w:r w:rsidRPr="00864301">
        <w:rPr>
          <w:sz w:val="22"/>
        </w:rPr>
        <w:t>nrollment-service. Fault isolation means a bug in course-service does not take down the student registration system. Team autonomy allows each service to be owned and deployed by a separate team on its own release schedule. These benefits are organizationa</w:t>
      </w:r>
      <w:r w:rsidRPr="00864301">
        <w:rPr>
          <w:sz w:val="22"/>
        </w:rPr>
        <w:t>l first and technical second — they matter at team scale, not at lab scale.</w:t>
      </w:r>
    </w:p>
    <w:p w:rsidR="00CB46F7" w:rsidRPr="00864301" w:rsidRDefault="00851C10">
      <w:pPr>
        <w:spacing w:before="240" w:after="120"/>
        <w:rPr>
          <w:sz w:val="22"/>
        </w:rPr>
      </w:pPr>
      <w:r w:rsidRPr="00864301">
        <w:rPr>
          <w:b/>
          <w:sz w:val="22"/>
        </w:rPr>
        <w:t>Conclusion</w:t>
      </w:r>
    </w:p>
    <w:p w:rsidR="00CB46F7" w:rsidRPr="00864301" w:rsidRDefault="00851C10">
      <w:pPr>
        <w:rPr>
          <w:sz w:val="22"/>
        </w:rPr>
      </w:pPr>
      <w:r w:rsidRPr="00864301">
        <w:rPr>
          <w:sz w:val="22"/>
        </w:rPr>
        <w:t>The Repository boundaries in the monolith map directly to the three microservice boundaries. StudentRepositoryInterface becomes student-service, CourseRepositoryInterfac</w:t>
      </w:r>
      <w:r w:rsidRPr="00864301">
        <w:rPr>
          <w:sz w:val="22"/>
        </w:rPr>
        <w:t>e becomes course-service, and EnrollmentRepositoryInterface becomes enrollment-service. The system is monolithic today but microservices-ready by design. When the business requires independent deployment or horizontal scaling, each Repository becomes a Ser</w:t>
      </w:r>
      <w:r w:rsidRPr="00864301">
        <w:rPr>
          <w:sz w:val="22"/>
        </w:rPr>
        <w:t>vice Client with no changes to the Controller layer.</w:t>
      </w:r>
    </w:p>
    <w:sectPr w:rsidR="00CB46F7" w:rsidRPr="00864301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C10" w:rsidRDefault="00851C10">
      <w:pPr>
        <w:spacing w:after="0" w:line="240" w:lineRule="auto"/>
      </w:pPr>
      <w:r>
        <w:separator/>
      </w:r>
    </w:p>
  </w:endnote>
  <w:endnote w:type="continuationSeparator" w:id="0">
    <w:p w:rsidR="00851C10" w:rsidRDefault="0085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6F7" w:rsidRDefault="00851C1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 w:rsidR="00D7433F">
      <w:fldChar w:fldCharType="separate"/>
    </w:r>
    <w:r w:rsidR="00864301">
      <w:rPr>
        <w:noProof/>
      </w:rPr>
      <w:t>1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 xml:space="preserve"> NUMPAGES </w:instrText>
    </w:r>
    <w:r w:rsidR="00D7433F">
      <w:fldChar w:fldCharType="separate"/>
    </w:r>
    <w:r w:rsidR="0086430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C10" w:rsidRDefault="00851C10">
      <w:pPr>
        <w:spacing w:after="0" w:line="240" w:lineRule="auto"/>
      </w:pPr>
      <w:r>
        <w:separator/>
      </w:r>
    </w:p>
  </w:footnote>
  <w:footnote w:type="continuationSeparator" w:id="0">
    <w:p w:rsidR="00851C10" w:rsidRDefault="00851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6F7" w:rsidRDefault="00851C10">
    <w:pPr>
      <w:pStyle w:val="Header"/>
      <w:jc w:val="center"/>
    </w:pPr>
    <w:r>
      <w:rPr>
        <w:i/>
        <w:sz w:val="18"/>
      </w:rPr>
      <w:t>ITSAR2 313 – SYSTEM INTEGRATION AND ARCHITECTURE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1C10"/>
    <w:rsid w:val="00864301"/>
    <w:rsid w:val="00AA1D8D"/>
    <w:rsid w:val="00B47730"/>
    <w:rsid w:val="00CB0664"/>
    <w:rsid w:val="00CB46F7"/>
    <w:rsid w:val="00D74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CF11672-1CDF-4976-A2E9-8BFD6621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mbria" w:hAnsi="Cambria" w:cs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41AE37-3D66-4FB8-9E42-933024CE9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Sagum</cp:lastModifiedBy>
  <cp:revision>3</cp:revision>
  <dcterms:created xsi:type="dcterms:W3CDTF">2013-12-23T23:15:00Z</dcterms:created>
  <dcterms:modified xsi:type="dcterms:W3CDTF">2026-03-12T01:19:00Z</dcterms:modified>
  <cp:category/>
</cp:coreProperties>
</file>