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 Contextually, this is an integrated online platform within a learning management system that supports structured content delivery and access to learning resources, as well as course activities and assessments (Dahal &amp; Manandhar, 2024).</w:t>
      </w:r>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These principles provide the pedagogical basis for the proposed mastery-based learning module in A.I.M.S., where progression controls are used as a system design mechanism to enforce competency-based sequencing.</w:t>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is supported by literature on corrective feedback, targeted remediation, and structured intervention cycles aligned with identified learning gaps (Persky &amp; Hughes, 2022; Jumao-as et al., 2025). Finally, Mastery-based learning module with configurable progression locks is pedagogically grounded in mastery learning literature that emphasizes criterion-referenced progression, corrective feedback, and remediation before advancement (Persky &amp; Hughes, 2022; Jumao-as et al., 2025).</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t>Dahal, N., &amp; Manandhar, N. (2024). The reality of e-learning: Success and failure of learning management system. Advances in Mobile Learning Educational Research, 4(1), 903–910. https://doi.org/10.25082/amler.2024.01.001</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