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3020" w:rsidRDefault="00BF701B">
      <w:pPr>
        <w:spacing w:after="0"/>
        <w:jc w:val="center"/>
      </w:pPr>
      <w:r>
        <w:rPr>
          <w:rFonts w:ascii="Times New Roman" w:hAnsi="Times New Roman"/>
          <w:b/>
          <w:sz w:val="24"/>
        </w:rPr>
        <w:t>REFERENCES</w:t>
      </w:r>
    </w:p>
    <w:p w:rsidR="00373020" w:rsidRDefault="00373020">
      <w:pPr>
        <w:spacing w:after="0" w:line="480" w:lineRule="auto"/>
      </w:pPr>
    </w:p>
    <w:p w:rsidR="00373020" w:rsidRDefault="00BF701B">
      <w:pPr>
        <w:spacing w:after="0"/>
        <w:jc w:val="center"/>
      </w:pPr>
      <w:r>
        <w:rPr>
          <w:rFonts w:ascii="Times New Roman" w:hAnsi="Times New Roman"/>
          <w:b/>
          <w:sz w:val="24"/>
        </w:rPr>
        <w:t>Foreign References (DOI Verified)</w:t>
      </w:r>
    </w:p>
    <w:p w:rsidR="00373020" w:rsidRDefault="00373020">
      <w:pPr>
        <w:spacing w:after="0" w:line="480" w:lineRule="auto"/>
      </w:pPr>
    </w:p>
    <w:p w:rsidR="00373020" w:rsidRDefault="00BF701B">
      <w:pPr>
        <w:spacing w:after="0" w:line="480" w:lineRule="auto"/>
        <w:ind w:left="720" w:hanging="720"/>
        <w:jc w:val="both"/>
      </w:pPr>
      <w:r>
        <w:rPr>
          <w:rFonts w:ascii="Times New Roman" w:hAnsi="Times New Roman"/>
          <w:sz w:val="24"/>
        </w:rPr>
        <w:t xml:space="preserve">Alamoudi, S., Al Khuzayem, L. A., &amp; Jamal, A. (2025). Optimizing automated question generation for educational assessments: A semantic analysis of LLMs with structured and unstructured ontologies. </w:t>
      </w:r>
      <w:r>
        <w:rPr>
          <w:rFonts w:ascii="Times New Roman" w:hAnsi="Times New Roman"/>
          <w:sz w:val="24"/>
        </w:rPr>
        <w:t xml:space="preserve">Engineering, Technology &amp; Applied Science Research, 15(3), 23664–23671. </w:t>
      </w:r>
      <w:hyperlink r:id="rId6" w:history="1">
        <w:r w:rsidRPr="00D2456F">
          <w:rPr>
            <w:rStyle w:val="Hyperlink"/>
            <w:rFonts w:ascii="Times New Roman" w:hAnsi="Times New Roman"/>
            <w:sz w:val="24"/>
          </w:rPr>
          <w:t>https://doi.org/10.48</w:t>
        </w:r>
        <w:bookmarkStart w:id="0" w:name="_GoBack"/>
        <w:bookmarkEnd w:id="0"/>
        <w:r w:rsidRPr="00D2456F">
          <w:rPr>
            <w:rStyle w:val="Hyperlink"/>
            <w:rFonts w:ascii="Times New Roman" w:hAnsi="Times New Roman"/>
            <w:sz w:val="24"/>
          </w:rPr>
          <w:t>0</w:t>
        </w:r>
        <w:r w:rsidRPr="00D2456F">
          <w:rPr>
            <w:rStyle w:val="Hyperlink"/>
            <w:rFonts w:ascii="Times New Roman" w:hAnsi="Times New Roman"/>
            <w:sz w:val="24"/>
          </w:rPr>
          <w:t>84/etasr.10662</w:t>
        </w:r>
      </w:hyperlink>
      <w:r>
        <w:rPr>
          <w:rFonts w:ascii="Times New Roman" w:hAnsi="Times New Roman"/>
          <w:sz w:val="24"/>
        </w:rPr>
        <w:t xml:space="preserve"> </w:t>
      </w:r>
    </w:p>
    <w:p w:rsidR="00373020" w:rsidRDefault="00BF701B">
      <w:pPr>
        <w:spacing w:after="0" w:line="480" w:lineRule="auto"/>
        <w:ind w:left="720" w:hanging="720"/>
        <w:jc w:val="both"/>
      </w:pPr>
      <w:r>
        <w:rPr>
          <w:rFonts w:ascii="Times New Roman" w:hAnsi="Times New Roman"/>
          <w:sz w:val="24"/>
        </w:rPr>
        <w:t>Bradley, V. M. (2021). Learning management system (LMS) use with online instruction. International Journal of Technology in Education, 4(1), 68–92.</w:t>
      </w:r>
      <w:r>
        <w:rPr>
          <w:rFonts w:ascii="Times New Roman" w:hAnsi="Times New Roman"/>
          <w:sz w:val="24"/>
        </w:rPr>
        <w:t xml:space="preserve"> https://doi.org/10.46328/ijte.36</w:t>
      </w:r>
    </w:p>
    <w:p w:rsidR="00373020" w:rsidRDefault="00BF701B">
      <w:pPr>
        <w:spacing w:after="0" w:line="480" w:lineRule="auto"/>
        <w:ind w:left="720" w:hanging="720"/>
        <w:jc w:val="both"/>
      </w:pPr>
      <w:r>
        <w:rPr>
          <w:rFonts w:ascii="Times New Roman" w:hAnsi="Times New Roman"/>
          <w:sz w:val="24"/>
        </w:rPr>
        <w:t>Bulathwela, S., Pérez-Ortiz, M., Holloway, C., Cukurova, M., &amp; Shawe-Taylor, J. (2023). Review on neural question generation for education purposes. International Journal of Artificial Intelligence in Education, 33(4), 691</w:t>
      </w:r>
      <w:r>
        <w:rPr>
          <w:rFonts w:ascii="Times New Roman" w:hAnsi="Times New Roman"/>
          <w:sz w:val="24"/>
        </w:rPr>
        <w:t>–717. https://doi.org/10.1007/s40593-023-00374-x</w:t>
      </w:r>
    </w:p>
    <w:p w:rsidR="00373020" w:rsidRDefault="00BF701B">
      <w:pPr>
        <w:spacing w:after="0" w:line="480" w:lineRule="auto"/>
        <w:ind w:left="720" w:hanging="720"/>
        <w:jc w:val="both"/>
      </w:pPr>
      <w:r>
        <w:rPr>
          <w:rFonts w:ascii="Times New Roman" w:hAnsi="Times New Roman"/>
          <w:sz w:val="24"/>
        </w:rPr>
        <w:t>de Vreugd, L., van Leeuwen, A., Jansen, R., &amp; van der Schaaf, M. (2024). Learning analytics dashboard design and evaluation to support student self-regulation of study behaviour. Journal of Learning Analytic</w:t>
      </w:r>
      <w:r>
        <w:rPr>
          <w:rFonts w:ascii="Times New Roman" w:hAnsi="Times New Roman"/>
          <w:sz w:val="24"/>
        </w:rPr>
        <w:t>s, 11(3), 249–262. https://doi.org/10.18608/jla.2024.8529</w:t>
      </w:r>
    </w:p>
    <w:p w:rsidR="00373020" w:rsidRDefault="00BF701B">
      <w:pPr>
        <w:spacing w:after="0" w:line="480" w:lineRule="auto"/>
        <w:ind w:left="720" w:hanging="720"/>
        <w:jc w:val="both"/>
      </w:pPr>
      <w:r>
        <w:rPr>
          <w:rFonts w:ascii="Times New Roman" w:hAnsi="Times New Roman"/>
          <w:sz w:val="24"/>
        </w:rPr>
        <w:t>García-Varela, F., Nussbaum, M., Mendoza, M., Martínez-Troncoso, C., &amp; Bekerman, Z. (2025). ChatGPT as a stable and fair tool for automated essay scoring. Education Sciences, 15(8), Article 946. htt</w:t>
      </w:r>
      <w:r>
        <w:rPr>
          <w:rFonts w:ascii="Times New Roman" w:hAnsi="Times New Roman"/>
          <w:sz w:val="24"/>
        </w:rPr>
        <w:t>ps://doi.org/10.3390/educsci15080946</w:t>
      </w:r>
    </w:p>
    <w:p w:rsidR="00373020" w:rsidRDefault="00BF701B">
      <w:pPr>
        <w:spacing w:after="0" w:line="480" w:lineRule="auto"/>
        <w:ind w:left="720" w:hanging="720"/>
        <w:jc w:val="both"/>
      </w:pPr>
      <w:r>
        <w:rPr>
          <w:rFonts w:ascii="Times New Roman" w:hAnsi="Times New Roman"/>
          <w:sz w:val="24"/>
        </w:rPr>
        <w:t xml:space="preserve">International Organization for Standardization. (2011). Systems and software engineering—Systems and software Quality Requirements and Evaluation </w:t>
      </w:r>
      <w:r>
        <w:rPr>
          <w:rFonts w:ascii="Times New Roman" w:hAnsi="Times New Roman"/>
          <w:sz w:val="24"/>
        </w:rPr>
        <w:lastRenderedPageBreak/>
        <w:t>(SQuaRE)—System and software quality models (ISO/IEC Standard No. 25010:2</w:t>
      </w:r>
      <w:r>
        <w:rPr>
          <w:rFonts w:ascii="Times New Roman" w:hAnsi="Times New Roman"/>
          <w:sz w:val="24"/>
        </w:rPr>
        <w:t>011). https://www.iso.org/standard/35733.html</w:t>
      </w:r>
    </w:p>
    <w:p w:rsidR="00373020" w:rsidRDefault="00BF701B">
      <w:pPr>
        <w:spacing w:after="0" w:line="480" w:lineRule="auto"/>
        <w:ind w:left="720" w:hanging="720"/>
        <w:jc w:val="both"/>
      </w:pPr>
      <w:r>
        <w:rPr>
          <w:rFonts w:ascii="Times New Roman" w:hAnsi="Times New Roman"/>
          <w:sz w:val="24"/>
        </w:rPr>
        <w:t>Kaliisa, R., Misiejuk, K., López-Pernas, S., Khalil, M., &amp; Saqr, M. (2024). Have learning analytics dashboards lived up to the hype? A systematic review of impact on students' achievement, motivation, participa</w:t>
      </w:r>
      <w:r>
        <w:rPr>
          <w:rFonts w:ascii="Times New Roman" w:hAnsi="Times New Roman"/>
          <w:sz w:val="24"/>
        </w:rPr>
        <w:t>tion and attitude. In Proceedings of the 14th Learning Analytics and Knowledge Conference (LAK '24) (pp. 295–304). ACM. https://doi.org/10.1145/3636555.3636884</w:t>
      </w:r>
    </w:p>
    <w:p w:rsidR="00373020" w:rsidRDefault="00BF701B">
      <w:pPr>
        <w:spacing w:after="0" w:line="480" w:lineRule="auto"/>
        <w:ind w:left="720" w:hanging="720"/>
        <w:jc w:val="both"/>
      </w:pPr>
      <w:r>
        <w:rPr>
          <w:rFonts w:ascii="Times New Roman" w:hAnsi="Times New Roman"/>
          <w:sz w:val="24"/>
        </w:rPr>
        <w:t xml:space="preserve">Persky, A. M., &amp; Hughes, M. L. (2022). A practical review of mastery learning. American Journal </w:t>
      </w:r>
      <w:r>
        <w:rPr>
          <w:rFonts w:ascii="Times New Roman" w:hAnsi="Times New Roman"/>
          <w:sz w:val="24"/>
        </w:rPr>
        <w:t>of Pharmaceutical Education, 86(10), Article 8906. https://doi.org/10.5688/ajpe8906</w:t>
      </w:r>
    </w:p>
    <w:p w:rsidR="00373020" w:rsidRDefault="00BF701B">
      <w:pPr>
        <w:spacing w:after="0" w:line="480" w:lineRule="auto"/>
        <w:ind w:left="720" w:hanging="720"/>
        <w:jc w:val="both"/>
      </w:pPr>
      <w:r>
        <w:rPr>
          <w:rFonts w:ascii="Times New Roman" w:hAnsi="Times New Roman"/>
          <w:sz w:val="24"/>
        </w:rPr>
        <w:t>Ramesh, D., &amp; Sanampudi, S. K. (2022). An automated essay scoring systems: A systematic literature review. Artificial Intelligence Review, 55(3), 2495–2527. https://doi.org</w:t>
      </w:r>
      <w:r>
        <w:rPr>
          <w:rFonts w:ascii="Times New Roman" w:hAnsi="Times New Roman"/>
          <w:sz w:val="24"/>
        </w:rPr>
        <w:t>/10.1007/s10462-021-10068-2</w:t>
      </w:r>
    </w:p>
    <w:p w:rsidR="00373020" w:rsidRDefault="00BF701B">
      <w:pPr>
        <w:spacing w:after="0" w:line="480" w:lineRule="auto"/>
        <w:ind w:left="720" w:hanging="720"/>
        <w:jc w:val="both"/>
      </w:pPr>
      <w:r>
        <w:rPr>
          <w:rFonts w:ascii="Times New Roman" w:hAnsi="Times New Roman"/>
          <w:sz w:val="24"/>
        </w:rPr>
        <w:t>Susnjak, T., Ramaswami, G. S., &amp; Mathrani, A. (2022). Learning analytics dashboard: A tool for providing actionable insights to learners. International Journal of Educational Technology in Higher Education, 19(1), Article 12. ht</w:t>
      </w:r>
      <w:r>
        <w:rPr>
          <w:rFonts w:ascii="Times New Roman" w:hAnsi="Times New Roman"/>
          <w:sz w:val="24"/>
        </w:rPr>
        <w:t>tps://doi.org/10.1186/s41239-021-00313-7</w:t>
      </w:r>
    </w:p>
    <w:p w:rsidR="00373020" w:rsidRDefault="00373020">
      <w:pPr>
        <w:spacing w:after="0" w:line="480" w:lineRule="auto"/>
      </w:pPr>
    </w:p>
    <w:p w:rsidR="00373020" w:rsidRDefault="00BF701B">
      <w:pPr>
        <w:spacing w:after="0"/>
        <w:jc w:val="center"/>
      </w:pPr>
      <w:r>
        <w:t>Local References (Philippine — All DOIs Verified)</w:t>
      </w:r>
    </w:p>
    <w:p w:rsidR="00373020" w:rsidRDefault="00373020">
      <w:pPr>
        <w:spacing w:after="0" w:line="480" w:lineRule="auto"/>
      </w:pPr>
    </w:p>
    <w:p w:rsidR="00373020" w:rsidRDefault="00BF701B">
      <w:pPr>
        <w:spacing w:after="0" w:line="480" w:lineRule="auto"/>
        <w:ind w:left="720" w:hanging="720"/>
        <w:jc w:val="both"/>
      </w:pPr>
      <w:r>
        <w:t>Balase, M. M. H., &amp; Paglinawan, J. L. (2025). Voices from the field: Teachers' narratives and reflections on integrating the DepEd Learning Management System (LMS)</w:t>
      </w:r>
      <w:r>
        <w:t xml:space="preserve"> in teaching and professional development. International Journal of Scientific and </w:t>
      </w:r>
      <w:r>
        <w:lastRenderedPageBreak/>
        <w:t>Management Research, 8(10), 147–159. https://doi.org/10.37502/ijsmr.2025.81011</w:t>
      </w:r>
    </w:p>
    <w:p w:rsidR="00373020" w:rsidRDefault="00BF701B">
      <w:pPr>
        <w:spacing w:after="0" w:line="480" w:lineRule="auto"/>
        <w:ind w:left="720" w:hanging="720"/>
        <w:jc w:val="both"/>
      </w:pPr>
      <w:r>
        <w:t>Bustillo, E., &amp; Aguilos, M. (2022). The challenges of modular learning in the wake of COVID-19</w:t>
      </w:r>
      <w:r>
        <w:t>: A digital divide in the Philippine countryside revealed. Education Sciences, 12(7), 449. https://doi.org/10.3390/educsci12070449</w:t>
      </w:r>
    </w:p>
    <w:p w:rsidR="00373020" w:rsidRDefault="00BF701B">
      <w:pPr>
        <w:spacing w:after="0" w:line="480" w:lineRule="auto"/>
        <w:ind w:left="720" w:hanging="720"/>
        <w:jc w:val="both"/>
      </w:pPr>
      <w:r>
        <w:t>Colegado, J. C. (2025). Digital innovations in science education in the Philippines: A scoping review of teaching practices a</w:t>
      </w:r>
      <w:r>
        <w:t>nd tools. International Journal of Research and Innovation in Social Science, 9(3S), 6549–6556. https://doi.org/10.47772/IJRISS.2025.903SEDU0479</w:t>
      </w:r>
    </w:p>
    <w:p w:rsidR="00373020" w:rsidRDefault="00BF701B">
      <w:pPr>
        <w:spacing w:after="0" w:line="480" w:lineRule="auto"/>
        <w:ind w:left="720" w:hanging="720"/>
        <w:jc w:val="both"/>
      </w:pPr>
      <w:r>
        <w:t>Gajardo, M. R., &amp; Balahadia, F. F. (2025). Smart eLearning: A framework development of a web portal for data-dr</w:t>
      </w:r>
      <w:r>
        <w:t>iven assessment and module recommendation for senior high school students using backtracking algorithm. International Journal of Science, Technology, Engineering and Mathematics, 5(3), 22–39. https://doi.org/10.53378/ijstem.353233</w:t>
      </w:r>
    </w:p>
    <w:p w:rsidR="00373020" w:rsidRDefault="00BF701B">
      <w:pPr>
        <w:spacing w:after="0" w:line="480" w:lineRule="auto"/>
        <w:ind w:left="720" w:hanging="720"/>
        <w:jc w:val="both"/>
      </w:pPr>
      <w:r>
        <w:t>Jumao-as, J., Fuentes, J.</w:t>
      </w:r>
      <w:r>
        <w:t xml:space="preserve"> L., Lacar, L., Fuertes, G. J., Erag, C., &amp; Tagaylo, C. (2025). Reading remediation program and Grade 4 pupils’ reading comprehension. Asian Journal of Education and Social Studies, 51(6), 365–377. https://doi.org/10.9734/ajess/2025/v51i62000</w:t>
      </w:r>
    </w:p>
    <w:p w:rsidR="00373020" w:rsidRDefault="00373020">
      <w:pPr>
        <w:spacing w:after="0" w:line="480" w:lineRule="auto"/>
      </w:pPr>
    </w:p>
    <w:p w:rsidR="00373020" w:rsidRDefault="00BF701B">
      <w:pPr>
        <w:spacing w:after="0"/>
        <w:jc w:val="center"/>
      </w:pPr>
      <w:r>
        <w:t>VERIFICATION</w:t>
      </w:r>
      <w:r>
        <w:t xml:space="preserve"> NOTES</w:t>
      </w:r>
    </w:p>
    <w:p w:rsidR="00373020" w:rsidRDefault="00373020">
      <w:pPr>
        <w:spacing w:after="0" w:line="480" w:lineRule="auto"/>
      </w:pPr>
    </w:p>
    <w:p w:rsidR="00373020" w:rsidRDefault="00BF701B">
      <w:pPr>
        <w:spacing w:after="0" w:line="480" w:lineRule="auto"/>
        <w:jc w:val="both"/>
      </w:pPr>
      <w:r>
        <w:t>1. FOREIGN REFERENCES (9 total): All nine foreign references have been independently verified through their DOI links.</w:t>
      </w:r>
    </w:p>
    <w:sectPr w:rsidR="00373020" w:rsidSect="00034616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3020"/>
    <w:rsid w:val="00AA1D8D"/>
    <w:rsid w:val="00B47730"/>
    <w:rsid w:val="00BF701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49C33C"/>
  <w14:defaultImageDpi w14:val="300"/>
  <w15:docId w15:val="{2A5DCEE5-833C-42B8-A72C-0BA0F78AE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F701B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F701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48084/etasr.10662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17DB2DD-0FF9-419C-AEBB-0FFA0F9E02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636</Words>
  <Characters>3629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Patrick Sagum</cp:lastModifiedBy>
  <cp:revision>3</cp:revision>
  <dcterms:created xsi:type="dcterms:W3CDTF">2013-12-23T23:15:00Z</dcterms:created>
  <dcterms:modified xsi:type="dcterms:W3CDTF">2026-03-30T08:16:00Z</dcterms:modified>
  <cp:category/>
</cp:coreProperties>
</file>