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after="0" w:line="480" w:lineRule="auto"/>
      </w:pPr>
    </w:p>
    <w:p>
      <w:pPr>
        <w:spacing w:after="0"/>
        <w:jc w:val="center"/>
      </w:pPr>
      <w:r>
        <w:rPr>
          <w:rFonts w:ascii="Times New Roman" w:hAnsi="Times New Roman"/>
          <w:b/>
          <w:sz w:val="24"/>
        </w:rPr>
        <w:t>Foreign References (DOI Verified)</w:t>
      </w:r>
    </w:p>
    <w:p>
      <w:pPr>
        <w:spacing w:after="0" w:line="480" w:lineRule="auto"/>
      </w:pP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 xml:space="preserve">Alamoudi, S., Al Khuzayem, L. A., &amp; Jamal, A. (2025). Optimizing automated question generation for educational assessments: A semantic analysis of LLMs with structured and unstructured ontologies. </w:t>
      </w:r>
      <w:r>
        <w:rPr>
          <w:rFonts w:ascii="Times New Roman" w:hAnsi="Times New Roman"/>
          <w:sz w:val="24"/>
        </w:rPr>
        <w:t xml:space="preserve">Engineering, Technology &amp; Applied Science Research, 15(3), 23664–23671. </w:t>
      </w:r>
      <w:r>
        <w:rPr>
          <w:rFonts w:ascii="Times New Roman" w:hAnsi="Times New Roman"/>
          <w:sz w:val="24"/>
        </w:rPr>
        <w:t xml:space="preserve"> 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Definition of Terms — AI-Powered Quiz Generator; Ch2 Section 1.2 – AI-Powered Quiz Generator;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Bradley, V. M. (2021). Learning management system (LMS) use with online instruction. International Journal of Technology in Education, 4(1), 68–92.</w:t>
      </w:r>
      <w:r>
        <w:rPr>
          <w:rFonts w:ascii="Times New Roman" w:hAnsi="Times New Roman"/>
          <w:sz w:val="24"/>
        </w:rPr>
        <w:t xml:space="preserve"> https://doi.org/10.46328/ijte.36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Definition of Terms — Centralized Digital Library; Ch2 Section 1.1 – Web-Based Centralized Digital Library;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Bulathwela, S., Pérez-Ortiz, M., Holloway, C., Cukurova, M., &amp; Shawe-Taylor, J. (2023). Review on neural question generation for education purposes. International Journal of Artificial Intelligence in Education, 33(4), 691</w:t>
      </w:r>
      <w:r>
        <w:rPr>
          <w:rFonts w:ascii="Times New Roman" w:hAnsi="Times New Roman"/>
          <w:sz w:val="24"/>
        </w:rPr>
        <w:t>–717. https://doi.org/10.1007/s40593-023-00374-x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Definition of Terms — AI-Powered Quiz Generator; Ch2 Section 1.2 – AI-Powered Quiz Generator;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de Vreugd, L., van Leeuwen, A., Jansen, R., &amp; van der Schaaf, M. (2024). Learning analytics dashboard design and evaluation to support student self-regulation of study behaviour. Journal of Learning Analytic</w:t>
      </w:r>
      <w:r>
        <w:rPr>
          <w:rFonts w:ascii="Times New Roman" w:hAnsi="Times New Roman"/>
          <w:sz w:val="24"/>
        </w:rPr>
        <w:t>s, 11(3), 249–262. https://doi.org/10.18608/jla.2024.8529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Ch2 Section 1.5 – Student Performance Dashboard;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García-Varela, F., Nussbaum, M., Mendoza, M., Martínez-Troncoso, C., &amp; Bekerman, Z. (2025). ChatGPT as a stable and fair tool for automated essay scoring. Education Sciences, 15(8), Article 946. htt</w:t>
      </w:r>
      <w:r>
        <w:rPr>
          <w:rFonts w:ascii="Times New Roman" w:hAnsi="Times New Roman"/>
          <w:sz w:val="24"/>
        </w:rPr>
        <w:t>ps://doi.org/10.3390/educsci15080946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Ch2 Section 1.3 – Automated Grading Module;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 xml:space="preserve">International Organization for Standardization. (2011). Systems and software engineering—Systems and software Quality Requirements and Evaluation </w:t>
      </w:r>
      <w:r>
        <w:rPr>
          <w:rFonts w:ascii="Times New Roman" w:hAnsi="Times New Roman"/>
          <w:sz w:val="24"/>
        </w:rPr>
        <w:t>(SQuaRE)—System and software quality models (ISO/IEC Standard No. 25010:2</w:t>
      </w:r>
      <w:r>
        <w:rPr>
          <w:rFonts w:ascii="Times New Roman" w:hAnsi="Times New Roman"/>
          <w:sz w:val="24"/>
        </w:rPr>
        <w:t>011). https://www.iso.org/standard/35733.html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Definition of Terms — ISO 25010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Kaliisa, R., Misiejuk, K., López-Pernas, S., Khalil, M., &amp; Saqr, M. (2024). Have learning analytics dashboards lived up to the hype? A systematic review of impact on students' achievement, motivation, participa</w:t>
      </w:r>
      <w:r>
        <w:rPr>
          <w:rFonts w:ascii="Times New Roman" w:hAnsi="Times New Roman"/>
          <w:sz w:val="24"/>
        </w:rPr>
        <w:t>tion and attitude. In Proceedings of the 14th Learning Analytics and Knowledge Conference (LAK '24) (pp. 295–304). ACM. https://doi.org/10.1145/3636555.3636884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Ch2 Section 1.5 – Student Performance Dashboard; Ch2 Synthesis</w:t>
      </w:r>
    </w:p>
    <w:p>
      <w:pPr>
        <w:spacing w:before="0" w:after="0" w:line="480" w:lineRule="exact"/>
        <w:ind w:left="720" w:hanging="720"/>
        <w:jc w:val="both"/>
      </w:pPr>
      <w:r>
        <w:rPr>
          <w:rFonts w:ascii="Times New Roman" w:hAnsi="Times New Roman"/>
          <w:sz w:val="24"/>
        </w:rPr>
        <w:t>Marcos, L. T. (2026). A systematic review on artificial intelligence in education: Opportunities, challenges, and ethical implications. Preprints. https://doi.org/10.20944/preprints202601.0448.v1</w:t>
      </w:r>
    </w:p>
    <w:p>
      <w:pPr>
        <w:spacing w:before="0" w:after="0" w:line="480" w:lineRule="exact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Background ⚠️ PREPRINT ONLY — adviser may require peer-reviewed replacement</w:t>
      </w:r>
    </w:p>
    <w:p>
      <w:pPr>
        <w:spacing w:before="0" w:after="0" w:line="480" w:lineRule="exact"/>
        <w:ind w:left="720" w:hanging="720"/>
        <w:jc w:val="both"/>
      </w:pPr>
      <w:r>
        <w:rPr>
          <w:rFonts w:ascii="Times New Roman" w:hAnsi="Times New Roman"/>
          <w:sz w:val="24"/>
        </w:rPr>
        <w:t>Merino-Campos, C. (2025). The impact of artificial intelligence on personalized learning in higher education: A systematic review. Trends in Higher Education, 4(2), Article 17. https://doi.org/10.3390/higheredu4020017</w:t>
      </w:r>
    </w:p>
    <w:p>
      <w:pPr>
        <w:spacing w:before="0" w:after="0" w:line="480" w:lineRule="exact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Background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 xml:space="preserve">Persky, A. M., &amp; Hughes, M. L. (2022). A practical review of mastery learning. American Journal </w:t>
      </w:r>
      <w:r>
        <w:rPr>
          <w:rFonts w:ascii="Times New Roman" w:hAnsi="Times New Roman"/>
          <w:sz w:val="24"/>
        </w:rPr>
        <w:t>of Pharmaceutical Education, 86(10), Article 8906. https://doi.org/10.5688/ajpe8906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Definition of Terms — Mastery-Lock System; Ch2 Section 1.4 – Adaptive Mastery-Lock System;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Ramesh, D., &amp; Sanampudi, S. K. (2022). An automated essay scoring systems: A systematic literature review. Artificial Intelligence Review, 55(3), 2495–2527. https://doi.org</w:t>
      </w:r>
      <w:r>
        <w:rPr>
          <w:rFonts w:ascii="Times New Roman" w:hAnsi="Times New Roman"/>
          <w:sz w:val="24"/>
        </w:rPr>
        <w:t>/10.1007/s10462-021-10068-2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Definition of Terms — Automated Grading Module; Ch2 Section 1.3 – Automated Grading Module;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Susnjak, T., Ramaswami, G. S., &amp; Mathrani, A. (2022). Learning analytics dashboard: A tool for providing actionable insights to learners. International Journal of Educational Technology in Higher Education, 19(1), Article 12. ht</w:t>
      </w:r>
      <w:r>
        <w:rPr>
          <w:rFonts w:ascii="Times New Roman" w:hAnsi="Times New Roman"/>
          <w:sz w:val="24"/>
        </w:rPr>
        <w:t>tps://doi.org/10.1186/s41239-021-00313-7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Definition of Terms — Student Performance Dashboard; Ch2 Section 1.4 – Adaptive Mastery-Lock System; Ch2 Section 1.5 – Student Performance Dashboard; Ch2 Synthesis</w:t>
      </w:r>
    </w:p>
    <w:p>
      <w:pPr>
        <w:spacing w:after="0" w:line="480" w:lineRule="auto"/>
      </w:pPr>
    </w:p>
    <w:p>
      <w:pPr>
        <w:spacing w:after="0"/>
        <w:jc w:val="center"/>
      </w:pPr>
      <w:r>
        <w:rPr>
          <w:rFonts w:ascii="Times New Roman" w:hAnsi="Times New Roman"/>
          <w:sz w:val="24"/>
        </w:rPr>
        <w:t>Local References (Philippine — All DOIs Verified)</w:t>
      </w:r>
    </w:p>
    <w:p>
      <w:pPr>
        <w:spacing w:after="0" w:line="480" w:lineRule="auto"/>
      </w:pP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Balase, M. M. H., &amp; Paglinawan, J. L. (2025). Voices from the field: Teachers' narratives and reflections on integrating the DepEd Learning Management System (LMS)</w:t>
      </w:r>
      <w:r>
        <w:rPr>
          <w:rFonts w:ascii="Times New Roman" w:hAnsi="Times New Roman"/>
          <w:sz w:val="24"/>
        </w:rPr>
        <w:t xml:space="preserve"> in teaching and professional development. International Journal of Scientific and </w:t>
      </w:r>
      <w:r>
        <w:rPr>
          <w:rFonts w:ascii="Times New Roman" w:hAnsi="Times New Roman"/>
          <w:sz w:val="24"/>
        </w:rPr>
        <w:t>Management Research, 8(10), 147–159. https://doi.org/10.37502/ijsmr.2025.81011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Background; Ch2 Section 1.2 – AI-Powered Quiz Generator; Ch2 Section 1.4 – Adaptive Mastery-Lock System;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Bustillo, E., &amp; Aguilos, M. (2022). The challenges of modular learning in the wake of COVID-19</w:t>
      </w:r>
      <w:r>
        <w:rPr>
          <w:rFonts w:ascii="Times New Roman" w:hAnsi="Times New Roman"/>
          <w:sz w:val="24"/>
        </w:rPr>
        <w:t>: A digital divide in the Philippine countryside revealed. Education Sciences, 12(7), 449. https://doi.org/10.3390/educsci12070449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Background;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Colegado, J. C. (2025). Digital innovations in science education in the Philippines: A scoping review of teaching practices a</w:t>
      </w:r>
      <w:r>
        <w:rPr>
          <w:rFonts w:ascii="Times New Roman" w:hAnsi="Times New Roman"/>
          <w:sz w:val="24"/>
        </w:rPr>
        <w:t>nd tools. International Journal of Research and Innovation in Social Science, 9(3S), 6549–6556. https://doi.org/10.47772/IJRISS.2025.903SEDU0479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Ch1 Background; Ch2 Section 1.3 – Automated Grading Module;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Gajardo, M. R., &amp; Balahadia, F. F. (2025). Smart eLearning: A framework development of a web portal for data-dr</w:t>
      </w:r>
      <w:r>
        <w:rPr>
          <w:rFonts w:ascii="Times New Roman" w:hAnsi="Times New Roman"/>
          <w:sz w:val="24"/>
        </w:rPr>
        <w:t>iven assessment and module recommendation for senior high school students using backtracking algorithm. International Journal of Science, Technology, Engineering and Mathematics, 5(3), 22–39. https://doi.org/10.53378/ijstem.353233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Ch2 Section 1.5 – Student Performance Dashboard; Ch2 Synthesis</w:t>
      </w:r>
    </w:p>
    <w:p>
      <w:pPr>
        <w:spacing w:after="0" w:line="480" w:lineRule="auto"/>
        <w:ind w:left="720" w:hanging="720"/>
        <w:jc w:val="both"/>
      </w:pPr>
      <w:r>
        <w:rPr>
          <w:rFonts w:ascii="Times New Roman" w:hAnsi="Times New Roman"/>
          <w:sz w:val="24"/>
        </w:rPr>
        <w:t>Jumao-as, J., Fuentes, J.</w:t>
      </w:r>
      <w:r>
        <w:rPr>
          <w:rFonts w:ascii="Times New Roman" w:hAnsi="Times New Roman"/>
          <w:sz w:val="24"/>
        </w:rPr>
        <w:t xml:space="preserve"> L., Lacar, L., Fuertes, G. J., Erag, C., &amp; Tagaylo, C. (2025). Reading remediation program and Grade 4 pupils’ reading comprehension. Asian Journal of Education and Social Studies, 51(6), 365–377. https://doi.org/10.9734/ajess/2025/v51i62000</w:t>
      </w:r>
    </w:p>
    <w:p>
      <w:pPr>
        <w:spacing w:before="0" w:after="0" w:line="480" w:lineRule="auto"/>
        <w:ind w:left="720" w:firstLine="0"/>
        <w:jc w:val="left"/>
      </w:pPr>
      <w:r>
        <w:rPr>
          <w:rFonts w:ascii="Times New Roman" w:hAnsi="Times New Roman"/>
          <w:i/>
          <w:color w:val="333388"/>
          <w:sz w:val="22"/>
        </w:rPr>
        <w:t>↳ Used in: Ch2 Section 1.4 – Adaptive Mastery-Lock System; Ch2 Synthesis</w:t>
      </w:r>
    </w:p>
    <w:p>
      <w:pPr>
        <w:spacing w:after="0" w:line="480" w:lineRule="auto"/>
      </w:pPr>
    </w:p>
    <w:p>
      <w:pPr>
        <w:spacing w:after="0"/>
        <w:jc w:val="center"/>
      </w:pPr>
      <w:r>
        <w:rPr>
          <w:rFonts w:ascii="Times New Roman" w:hAnsi="Times New Roman"/>
          <w:sz w:val="24"/>
        </w:rPr>
        <w:t>VERIFICATION</w:t>
      </w:r>
      <w:r>
        <w:rPr>
          <w:rFonts w:ascii="Times New Roman" w:hAnsi="Times New Roman"/>
          <w:sz w:val="24"/>
        </w:rPr>
        <w:t xml:space="preserve"> NOTES</w:t>
      </w:r>
    </w:p>
    <w:p>
      <w:pPr>
        <w:spacing w:after="0" w:line="480" w:lineRule="auto"/>
      </w:pPr>
    </w:p>
    <w:p>
      <w:pPr>
        <w:spacing w:after="0" w:line="480" w:lineRule="auto"/>
        <w:jc w:val="both"/>
      </w:pPr>
      <w:r>
        <w:rPr>
          <w:rFonts w:ascii="Times New Roman" w:hAnsi="Times New Roman"/>
          <w:sz w:val="24"/>
        </w:rPr>
        <w:t>1. FOREIGN REFERENCES (11 total): All eleven foreign references have been independently verified through their DOI links.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