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5418A" w:rsidRDefault="00846432">
      <w:pPr>
        <w:spacing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A.I.M.S. (AUTOMATED INTERVENTION AND MASTERY SYSTEM): A WEB- BASED EDUCATIONAL PLATFORM WITH AI-DRIVEN ASSESSMENT AND DYNAMIC REMEDIATION</w:t>
      </w:r>
    </w:p>
    <w:p w:rsidR="00F5418A" w:rsidRDefault="00F5418A">
      <w:pPr>
        <w:spacing w:after="0" w:line="480" w:lineRule="auto"/>
        <w:jc w:val="center"/>
        <w:rPr>
          <w:rFonts w:ascii="Times New Roman" w:eastAsia="Times New Roman" w:hAnsi="Times New Roman" w:cs="Times New Roman"/>
          <w:sz w:val="24"/>
          <w:szCs w:val="24"/>
        </w:rPr>
      </w:pPr>
    </w:p>
    <w:p w:rsidR="00F5418A" w:rsidRDefault="00846432">
      <w:pPr>
        <w:spacing w:after="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 Capstone Project Presented to the</w:t>
      </w:r>
    </w:p>
    <w:p w:rsidR="00F5418A" w:rsidRDefault="00846432">
      <w:pPr>
        <w:spacing w:after="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Faculty of the College of Computer Studies</w:t>
      </w:r>
    </w:p>
    <w:p w:rsidR="00F5418A" w:rsidRDefault="00846432">
      <w:pPr>
        <w:spacing w:after="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Carlos Hilado Memorial State University</w:t>
      </w:r>
    </w:p>
    <w:p w:rsidR="00F5418A" w:rsidRDefault="00846432">
      <w:pPr>
        <w:spacing w:after="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Alijis Campus, Bacolod City</w:t>
      </w:r>
    </w:p>
    <w:p w:rsidR="00F5418A" w:rsidRDefault="00F5418A">
      <w:pPr>
        <w:spacing w:after="0" w:line="480" w:lineRule="auto"/>
        <w:jc w:val="center"/>
        <w:rPr>
          <w:rFonts w:ascii="Times New Roman" w:eastAsia="Times New Roman" w:hAnsi="Times New Roman" w:cs="Times New Roman"/>
          <w:sz w:val="24"/>
          <w:szCs w:val="24"/>
        </w:rPr>
      </w:pPr>
    </w:p>
    <w:p w:rsidR="00F5418A" w:rsidRDefault="00F5418A">
      <w:pPr>
        <w:spacing w:after="0" w:line="480" w:lineRule="auto"/>
        <w:jc w:val="center"/>
        <w:rPr>
          <w:rFonts w:ascii="Times New Roman" w:eastAsia="Times New Roman" w:hAnsi="Times New Roman" w:cs="Times New Roman"/>
          <w:sz w:val="24"/>
          <w:szCs w:val="24"/>
        </w:rPr>
      </w:pPr>
    </w:p>
    <w:p w:rsidR="00F5418A" w:rsidRDefault="00846432">
      <w:pPr>
        <w:spacing w:after="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In Partial Fulfillment</w:t>
      </w:r>
    </w:p>
    <w:p w:rsidR="00F5418A" w:rsidRDefault="00846432">
      <w:pPr>
        <w:tabs>
          <w:tab w:val="center" w:pos="4320"/>
        </w:tabs>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of the Requirements for the Degree</w:t>
      </w:r>
    </w:p>
    <w:p w:rsidR="00F5418A" w:rsidRDefault="00846432">
      <w:pPr>
        <w:spacing w:after="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Information Technology</w:t>
      </w:r>
    </w:p>
    <w:p w:rsidR="00F5418A" w:rsidRDefault="00F5418A">
      <w:pPr>
        <w:spacing w:after="0" w:line="480" w:lineRule="auto"/>
        <w:jc w:val="center"/>
        <w:rPr>
          <w:rFonts w:ascii="Times New Roman" w:eastAsia="Times New Roman" w:hAnsi="Times New Roman" w:cs="Times New Roman"/>
          <w:sz w:val="24"/>
          <w:szCs w:val="24"/>
        </w:rPr>
      </w:pPr>
    </w:p>
    <w:p w:rsidR="00F5418A" w:rsidRDefault="00846432">
      <w:pPr>
        <w:spacing w:after="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By</w:t>
      </w:r>
    </w:p>
    <w:p w:rsidR="00F5418A" w:rsidRDefault="00846432">
      <w:pPr>
        <w:spacing w:after="0" w:line="480" w:lineRule="auto"/>
        <w:jc w:val="center"/>
        <w:rPr>
          <w:rFonts w:ascii="Times New Roman" w:eastAsia="Times New Roman" w:hAnsi="Times New Roman" w:cs="Times New Roman"/>
          <w:sz w:val="24"/>
          <w:szCs w:val="24"/>
        </w:rPr>
      </w:pPr>
      <w:bookmarkStart w:id="0" w:name="_ypjku42k7hsk" w:colFirst="0" w:colLast="0"/>
      <w:bookmarkEnd w:id="0"/>
      <w:r>
        <w:rPr>
          <w:rFonts w:ascii="Times New Roman" w:eastAsia="Times New Roman" w:hAnsi="Times New Roman" w:cs="Times New Roman"/>
          <w:sz w:val="24"/>
          <w:szCs w:val="24"/>
        </w:rPr>
        <w:t xml:space="preserve">Mikhoel Runo B. </w:t>
      </w:r>
      <w:r>
        <w:rPr>
          <w:rFonts w:ascii="Times New Roman" w:eastAsia="Times New Roman" w:hAnsi="Times New Roman" w:cs="Times New Roman"/>
          <w:color w:val="000000"/>
          <w:sz w:val="24"/>
          <w:szCs w:val="24"/>
        </w:rPr>
        <w:t xml:space="preserve">Orbigoso  </w:t>
      </w:r>
    </w:p>
    <w:p w:rsidR="00F5418A" w:rsidRDefault="00846432">
      <w:pPr>
        <w:spacing w:after="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Patrick R.</w:t>
      </w:r>
      <w:r w:rsidR="0027776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Sagum</w:t>
      </w:r>
    </w:p>
    <w:p w:rsidR="00F5418A" w:rsidRDefault="0027776D">
      <w:pPr>
        <w:spacing w:after="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Maika T. </w:t>
      </w:r>
      <w:r w:rsidR="00846432">
        <w:rPr>
          <w:rFonts w:ascii="Times New Roman" w:eastAsia="Times New Roman" w:hAnsi="Times New Roman" w:cs="Times New Roman"/>
          <w:sz w:val="24"/>
          <w:szCs w:val="24"/>
        </w:rPr>
        <w:t>Zambra</w:t>
      </w:r>
    </w:p>
    <w:p w:rsidR="00F5418A" w:rsidRDefault="00F5418A">
      <w:pPr>
        <w:spacing w:after="0" w:line="480" w:lineRule="auto"/>
        <w:jc w:val="center"/>
        <w:rPr>
          <w:rFonts w:ascii="Times New Roman" w:eastAsia="Times New Roman" w:hAnsi="Times New Roman" w:cs="Times New Roman"/>
          <w:b/>
          <w:bCs/>
          <w:sz w:val="24"/>
          <w:szCs w:val="24"/>
        </w:rPr>
      </w:pPr>
    </w:p>
    <w:p w:rsidR="00F5418A" w:rsidRDefault="00F5418A">
      <w:pPr>
        <w:spacing w:after="0" w:line="480" w:lineRule="auto"/>
        <w:jc w:val="center"/>
        <w:rPr>
          <w:rFonts w:ascii="Times New Roman" w:eastAsia="Times New Roman" w:hAnsi="Times New Roman" w:cs="Times New Roman"/>
          <w:b/>
          <w:bCs/>
          <w:sz w:val="24"/>
          <w:szCs w:val="24"/>
        </w:rPr>
      </w:pPr>
    </w:p>
    <w:p w:rsidR="00F5418A" w:rsidRDefault="00F5418A">
      <w:pPr>
        <w:spacing w:after="0" w:line="480" w:lineRule="auto"/>
        <w:jc w:val="center"/>
        <w:rPr>
          <w:rFonts w:ascii="Times New Roman" w:eastAsia="Times New Roman" w:hAnsi="Times New Roman" w:cs="Times New Roman"/>
          <w:b/>
          <w:bCs/>
          <w:sz w:val="24"/>
          <w:szCs w:val="24"/>
        </w:rPr>
      </w:pPr>
    </w:p>
    <w:p w:rsidR="00F5418A" w:rsidRDefault="00846432">
      <w:pPr>
        <w:tabs>
          <w:tab w:val="center" w:pos="4320"/>
          <w:tab w:val="right" w:pos="8640"/>
        </w:tabs>
        <w:spacing w:after="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ab/>
        <w:t>January 2027</w:t>
      </w:r>
      <w:r>
        <w:br w:type="page"/>
      </w:r>
    </w:p>
    <w:p w:rsidR="00F5418A" w:rsidRPr="002A01FF" w:rsidRDefault="00846432">
      <w:pPr>
        <w:spacing w:after="0" w:line="480" w:lineRule="auto"/>
        <w:jc w:val="center"/>
        <w:rPr>
          <w:rFonts w:ascii="Times New Roman" w:eastAsia="Times New Roman" w:hAnsi="Times New Roman" w:cs="Times New Roman"/>
          <w:b/>
          <w:bCs/>
          <w:sz w:val="24"/>
          <w:szCs w:val="24"/>
        </w:rPr>
      </w:pPr>
      <w:r w:rsidRPr="002A01FF">
        <w:rPr>
          <w:rFonts w:ascii="Times New Roman" w:eastAsia="Times New Roman" w:hAnsi="Times New Roman" w:cs="Times New Roman"/>
          <w:b/>
          <w:bCs/>
          <w:sz w:val="24"/>
          <w:szCs w:val="24"/>
        </w:rPr>
        <w:lastRenderedPageBreak/>
        <w:t>Chapter 1</w:t>
      </w:r>
    </w:p>
    <w:p w:rsidR="00F5418A" w:rsidRPr="002A01FF" w:rsidRDefault="00846432">
      <w:pPr>
        <w:spacing w:after="0" w:line="480" w:lineRule="auto"/>
        <w:jc w:val="center"/>
        <w:rPr>
          <w:rFonts w:ascii="Times New Roman" w:eastAsia="Times New Roman" w:hAnsi="Times New Roman" w:cs="Times New Roman"/>
          <w:b/>
          <w:bCs/>
          <w:sz w:val="24"/>
          <w:szCs w:val="24"/>
        </w:rPr>
      </w:pPr>
      <w:r w:rsidRPr="002A01FF">
        <w:rPr>
          <w:rFonts w:ascii="Times New Roman" w:eastAsia="Times New Roman" w:hAnsi="Times New Roman" w:cs="Times New Roman"/>
          <w:b/>
          <w:bCs/>
          <w:sz w:val="24"/>
          <w:szCs w:val="24"/>
        </w:rPr>
        <w:t>INTRODUCTION</w:t>
      </w:r>
    </w:p>
    <w:p w:rsidR="00F5418A" w:rsidRPr="002A01FF" w:rsidRDefault="00846432">
      <w:pPr>
        <w:spacing w:after="0" w:line="480" w:lineRule="auto"/>
        <w:jc w:val="both"/>
        <w:rPr>
          <w:rFonts w:ascii="Times New Roman" w:eastAsia="Times New Roman" w:hAnsi="Times New Roman" w:cs="Times New Roman"/>
          <w:b/>
          <w:bCs/>
          <w:sz w:val="24"/>
          <w:szCs w:val="24"/>
        </w:rPr>
      </w:pPr>
      <w:r w:rsidRPr="002A01FF">
        <w:rPr>
          <w:rFonts w:ascii="Times New Roman" w:eastAsia="Times New Roman" w:hAnsi="Times New Roman" w:cs="Times New Roman"/>
          <w:b/>
          <w:bCs/>
          <w:sz w:val="24"/>
          <w:szCs w:val="24"/>
        </w:rPr>
        <w:t>Background of the Study</w:t>
      </w:r>
    </w:p>
    <w:p w:rsidR="00F5418A" w:rsidRPr="002A01FF" w:rsidRDefault="00846432">
      <w:pPr>
        <w:spacing w:after="0" w:line="480" w:lineRule="auto"/>
        <w:jc w:val="both"/>
        <w:rPr>
          <w:rFonts w:ascii="Times New Roman" w:eastAsia="Times New Roman" w:hAnsi="Times New Roman" w:cs="Times New Roman"/>
          <w:sz w:val="24"/>
          <w:szCs w:val="24"/>
        </w:rPr>
      </w:pPr>
      <w:r w:rsidRPr="002A01FF">
        <w:rPr>
          <w:rFonts w:ascii="Times New Roman" w:hAnsi="Times New Roman" w:cs="Times New Roman"/>
          <w:sz w:val="24"/>
          <w:szCs w:val="24"/>
        </w:rPr>
        <w:tab/>
        <w:t>Technology has become increasingly integrated in education systems to support instruction, assessment, and learner support. In particular, educational technologies powered by artificial intelligence (AI) have demonstrated potential to enable personalized learning, adaptive feedback, and more efficient assessment workflows that can help educators respond to diverse learner needs and improve academic performance (Merino-Campos, 2025; Marcos, 2026).</w:t>
      </w:r>
    </w:p>
    <w:p w:rsidR="00F5418A" w:rsidRPr="002A01FF" w:rsidRDefault="00846432">
      <w:pPr>
        <w:spacing w:after="0" w:line="480" w:lineRule="auto"/>
        <w:ind w:firstLine="720"/>
        <w:jc w:val="both"/>
        <w:rPr>
          <w:rFonts w:ascii="Times New Roman" w:eastAsia="Times New Roman" w:hAnsi="Times New Roman" w:cs="Times New Roman"/>
          <w:sz w:val="24"/>
          <w:szCs w:val="24"/>
        </w:rPr>
      </w:pPr>
      <w:r w:rsidRPr="002A01FF">
        <w:rPr>
          <w:rFonts w:ascii="Times New Roman" w:hAnsi="Times New Roman" w:cs="Times New Roman"/>
          <w:sz w:val="24"/>
          <w:szCs w:val="24"/>
        </w:rPr>
        <w:t>In the Philippine basic education context, the adoption of flexible learning modalities increased the use of technology in teaching and learning. However, persistent challenges such as the digital divide, uneven access to learning resources, inadequate infrastructure, and time-intensive manual processes for module distribution and assessment continue to affect many public schools (Bustillo &amp; Aguilos, 2022; Balase &amp; Paglinawan, 2025). Local evidence further indicates that limited connectivity and varying levels of digital competencies can prevent teachers and learners from maximizing the functionality of learning management systems and other digital tools (Colegado, 2025).</w:t>
      </w:r>
    </w:p>
    <w:p w:rsidR="00F5418A" w:rsidRPr="002A01FF" w:rsidRDefault="00846432">
      <w:pPr>
        <w:spacing w:after="0" w:line="480" w:lineRule="auto"/>
        <w:ind w:firstLine="720"/>
        <w:jc w:val="both"/>
        <w:rPr>
          <w:rFonts w:ascii="Times New Roman" w:eastAsia="Times New Roman" w:hAnsi="Times New Roman" w:cs="Times New Roman"/>
          <w:sz w:val="24"/>
          <w:szCs w:val="24"/>
        </w:rPr>
      </w:pPr>
      <w:r w:rsidRPr="002A01FF">
        <w:rPr>
          <w:rFonts w:ascii="Times New Roman" w:hAnsi="Times New Roman" w:cs="Times New Roman"/>
          <w:sz w:val="24"/>
          <w:szCs w:val="24"/>
        </w:rPr>
        <w:t xml:space="preserve">These conditions often result in fragmented workflows where learning materials, quiz creation, scoring, and follow-up interventions are handled through separate tools or manual procedures. Consequently, feedback and remediation may be delayed, and teachers may have limited capacity to provide targeted support for learners who have not yet mastered required competencies. A key research and implementation gap is the limited </w:t>
      </w:r>
      <w:r w:rsidRPr="002A01FF">
        <w:rPr>
          <w:rFonts w:ascii="Times New Roman" w:hAnsi="Times New Roman" w:cs="Times New Roman"/>
          <w:sz w:val="24"/>
          <w:szCs w:val="24"/>
        </w:rPr>
        <w:lastRenderedPageBreak/>
        <w:t>availability of a locally contextualized, integrated web-based platform for public secondary schools that unifies centralized module distribution, instructor-validated AI-assisted quiz generation, automated assessment with teacher validation, and dynamic remediation linked to mastery-based progression controls within a single system.</w:t>
      </w:r>
    </w:p>
    <w:p w:rsidR="00F5418A" w:rsidRPr="002A01FF" w:rsidRDefault="00846432">
      <w:pPr>
        <w:spacing w:after="0" w:line="480" w:lineRule="auto"/>
        <w:ind w:firstLine="720"/>
        <w:jc w:val="both"/>
        <w:rPr>
          <w:rFonts w:ascii="Times New Roman" w:eastAsia="Times New Roman" w:hAnsi="Times New Roman" w:cs="Times New Roman"/>
          <w:sz w:val="24"/>
          <w:szCs w:val="24"/>
        </w:rPr>
      </w:pPr>
      <w:r w:rsidRPr="002A01FF">
        <w:rPr>
          <w:rFonts w:ascii="Times New Roman" w:hAnsi="Times New Roman" w:cs="Times New Roman"/>
          <w:sz w:val="24"/>
          <w:szCs w:val="24"/>
        </w:rPr>
        <w:t>In response to this gap, the study presents A.I.M.S. (Automated Intervention and Mastery System), an AI-enabled web-based educational platform designed to support public school teachers by centralizing module distribution, enabling instructor-validated AI-powered quiz generation, automating assessment and grading with teacher validation, and generating dynamic remedial quizzes linked to mastery-based progression locks. Through these integrated features, A.I.M.S. aims to reduce administrative workload, improve the timeliness of feedback and interventions, and strengthen instructional decision-making in public secondary school settings.</w:t>
      </w:r>
    </w:p>
    <w:p w:rsidR="00F5418A" w:rsidRPr="002A01FF" w:rsidRDefault="00F5418A">
      <w:pPr>
        <w:spacing w:after="0" w:line="480" w:lineRule="auto"/>
        <w:ind w:firstLine="720"/>
        <w:jc w:val="both"/>
        <w:rPr>
          <w:rFonts w:ascii="Times New Roman" w:eastAsia="Times New Roman" w:hAnsi="Times New Roman" w:cs="Times New Roman"/>
          <w:sz w:val="24"/>
          <w:szCs w:val="24"/>
        </w:rPr>
      </w:pPr>
    </w:p>
    <w:p w:rsidR="00F5418A" w:rsidRPr="002A01FF" w:rsidRDefault="00846432">
      <w:pPr>
        <w:spacing w:after="0" w:line="480" w:lineRule="auto"/>
        <w:jc w:val="both"/>
        <w:rPr>
          <w:rFonts w:ascii="Times New Roman" w:eastAsia="Times New Roman" w:hAnsi="Times New Roman" w:cs="Times New Roman"/>
          <w:b/>
          <w:bCs/>
          <w:sz w:val="24"/>
          <w:szCs w:val="24"/>
        </w:rPr>
      </w:pPr>
      <w:r w:rsidRPr="002A01FF">
        <w:rPr>
          <w:rFonts w:ascii="Times New Roman" w:eastAsia="Times New Roman" w:hAnsi="Times New Roman" w:cs="Times New Roman"/>
          <w:b/>
          <w:bCs/>
          <w:sz w:val="24"/>
          <w:szCs w:val="24"/>
        </w:rPr>
        <w:t>Objective of the Study</w:t>
      </w:r>
    </w:p>
    <w:p w:rsidR="00F5418A" w:rsidRPr="002A01FF" w:rsidRDefault="00846432">
      <w:pPr>
        <w:spacing w:after="0" w:line="480" w:lineRule="auto"/>
        <w:ind w:firstLine="720"/>
        <w:jc w:val="both"/>
        <w:rPr>
          <w:rFonts w:ascii="Times New Roman" w:eastAsia="Times New Roman" w:hAnsi="Times New Roman" w:cs="Times New Roman"/>
          <w:sz w:val="24"/>
          <w:szCs w:val="24"/>
        </w:rPr>
      </w:pPr>
      <w:r w:rsidRPr="002A01FF">
        <w:rPr>
          <w:rFonts w:ascii="Times New Roman" w:hAnsi="Times New Roman" w:cs="Times New Roman"/>
          <w:sz w:val="24"/>
          <w:szCs w:val="24"/>
        </w:rPr>
        <w:t>The general objective of the study is to design and develop a web-based application titled "A.I.M.S. (Automated Intervention and Mastery System): A Web-Based Educational Platform with AI-Driven Assessment and Dynamic Remediation."</w:t>
      </w:r>
    </w:p>
    <w:p w:rsidR="00F5418A" w:rsidRPr="002A01FF" w:rsidRDefault="00554D81" w:rsidP="00554D81">
      <w:pPr>
        <w:spacing w:after="0" w:line="480" w:lineRule="auto"/>
        <w:jc w:val="both"/>
        <w:rPr>
          <w:rFonts w:ascii="Times New Roman" w:eastAsia="Times New Roman" w:hAnsi="Times New Roman" w:cs="Times New Roman"/>
          <w:sz w:val="24"/>
          <w:szCs w:val="24"/>
        </w:rPr>
      </w:pPr>
      <w:r>
        <w:rPr>
          <w:rFonts w:ascii="Times New Roman" w:hAnsi="Times New Roman" w:cs="Times New Roman"/>
          <w:sz w:val="24"/>
          <w:szCs w:val="24"/>
        </w:rPr>
        <w:t>Specifically, this aims the following</w:t>
      </w:r>
      <w:r w:rsidR="00846432" w:rsidRPr="002A01FF">
        <w:rPr>
          <w:rFonts w:ascii="Times New Roman" w:hAnsi="Times New Roman" w:cs="Times New Roman"/>
          <w:sz w:val="24"/>
          <w:szCs w:val="24"/>
        </w:rPr>
        <w:t>:</w:t>
      </w:r>
    </w:p>
    <w:p w:rsidR="00F5418A" w:rsidRPr="002A01FF" w:rsidRDefault="00846432">
      <w:pPr>
        <w:spacing w:after="0" w:line="480" w:lineRule="auto"/>
        <w:jc w:val="both"/>
        <w:rPr>
          <w:rFonts w:ascii="Times New Roman" w:eastAsia="Times New Roman" w:hAnsi="Times New Roman" w:cs="Times New Roman"/>
          <w:sz w:val="24"/>
          <w:szCs w:val="24"/>
        </w:rPr>
      </w:pPr>
      <w:r w:rsidRPr="002A01FF">
        <w:rPr>
          <w:rFonts w:ascii="Times New Roman" w:hAnsi="Times New Roman" w:cs="Times New Roman"/>
          <w:sz w:val="24"/>
          <w:szCs w:val="24"/>
        </w:rPr>
        <w:t>1. To design and develop a web-based application with the following core technical features:</w:t>
      </w:r>
    </w:p>
    <w:p w:rsidR="00F5418A" w:rsidRPr="002A01FF" w:rsidRDefault="00846432">
      <w:pPr>
        <w:spacing w:after="0" w:line="480" w:lineRule="auto"/>
        <w:ind w:firstLine="426"/>
        <w:jc w:val="both"/>
        <w:rPr>
          <w:rFonts w:ascii="Times New Roman" w:eastAsia="Times New Roman" w:hAnsi="Times New Roman" w:cs="Times New Roman"/>
          <w:sz w:val="24"/>
          <w:szCs w:val="24"/>
        </w:rPr>
      </w:pPr>
      <w:r w:rsidRPr="002A01FF">
        <w:rPr>
          <w:rFonts w:ascii="Times New Roman" w:hAnsi="Times New Roman" w:cs="Times New Roman"/>
          <w:sz w:val="24"/>
          <w:szCs w:val="24"/>
        </w:rPr>
        <w:t>1.1. Centralized learning portal with material distribution and task submission;</w:t>
      </w:r>
    </w:p>
    <w:p w:rsidR="00F5418A" w:rsidRPr="002A01FF" w:rsidRDefault="00846432">
      <w:pPr>
        <w:spacing w:after="0" w:line="480" w:lineRule="auto"/>
        <w:ind w:firstLine="426"/>
        <w:jc w:val="both"/>
        <w:rPr>
          <w:rFonts w:ascii="Times New Roman" w:eastAsia="Times New Roman" w:hAnsi="Times New Roman" w:cs="Times New Roman"/>
          <w:sz w:val="24"/>
          <w:szCs w:val="24"/>
        </w:rPr>
      </w:pPr>
      <w:r w:rsidRPr="002A01FF">
        <w:rPr>
          <w:rFonts w:ascii="Times New Roman" w:hAnsi="Times New Roman" w:cs="Times New Roman"/>
          <w:sz w:val="24"/>
          <w:szCs w:val="24"/>
        </w:rPr>
        <w:t>1.2. AI-Powered Quiz Generator with instructor validation and approval controls;</w:t>
      </w:r>
    </w:p>
    <w:p w:rsidR="00F5418A" w:rsidRPr="002A01FF" w:rsidRDefault="00846432">
      <w:pPr>
        <w:spacing w:after="0" w:line="480" w:lineRule="auto"/>
        <w:ind w:left="720" w:hanging="294"/>
        <w:jc w:val="both"/>
        <w:rPr>
          <w:rFonts w:ascii="Times New Roman" w:eastAsia="Times New Roman" w:hAnsi="Times New Roman" w:cs="Times New Roman"/>
          <w:sz w:val="24"/>
          <w:szCs w:val="24"/>
        </w:rPr>
      </w:pPr>
      <w:r w:rsidRPr="002A01FF">
        <w:rPr>
          <w:rFonts w:ascii="Times New Roman" w:hAnsi="Times New Roman" w:cs="Times New Roman"/>
          <w:sz w:val="24"/>
          <w:szCs w:val="24"/>
        </w:rPr>
        <w:lastRenderedPageBreak/>
        <w:t>1.3. Automated assessment and grading engine supporting teacher validation;</w:t>
      </w:r>
    </w:p>
    <w:p w:rsidR="00F5418A" w:rsidRPr="002A01FF" w:rsidRDefault="00846432">
      <w:pPr>
        <w:spacing w:after="0" w:line="480" w:lineRule="auto"/>
        <w:ind w:left="720" w:hanging="294"/>
        <w:jc w:val="both"/>
        <w:rPr>
          <w:rFonts w:ascii="Times New Roman" w:eastAsia="Times New Roman" w:hAnsi="Times New Roman" w:cs="Times New Roman"/>
          <w:sz w:val="24"/>
          <w:szCs w:val="24"/>
        </w:rPr>
      </w:pPr>
      <w:r w:rsidRPr="002A01FF">
        <w:rPr>
          <w:rFonts w:ascii="Times New Roman" w:hAnsi="Times New Roman" w:cs="Times New Roman"/>
          <w:sz w:val="24"/>
          <w:szCs w:val="24"/>
        </w:rPr>
        <w:t>1.4. Dynamic remedial quiz generator for targeted student intervention; and</w:t>
      </w:r>
    </w:p>
    <w:p w:rsidR="00F5418A" w:rsidRPr="002A01FF" w:rsidRDefault="00846432">
      <w:pPr>
        <w:spacing w:after="0" w:line="480" w:lineRule="auto"/>
        <w:ind w:left="720" w:hanging="294"/>
        <w:jc w:val="both"/>
        <w:rPr>
          <w:rFonts w:ascii="Times New Roman" w:eastAsia="Times New Roman" w:hAnsi="Times New Roman" w:cs="Times New Roman"/>
          <w:sz w:val="24"/>
          <w:szCs w:val="24"/>
        </w:rPr>
      </w:pPr>
      <w:r w:rsidRPr="002A01FF">
        <w:rPr>
          <w:rFonts w:ascii="Times New Roman" w:hAnsi="Times New Roman" w:cs="Times New Roman"/>
          <w:sz w:val="24"/>
          <w:szCs w:val="24"/>
        </w:rPr>
        <w:t>1.5. Mastery-based learning module with configurable progression locks.</w:t>
      </w:r>
    </w:p>
    <w:p w:rsidR="00F5418A" w:rsidRPr="002A01FF" w:rsidRDefault="00846432">
      <w:pPr>
        <w:spacing w:after="0" w:line="480" w:lineRule="auto"/>
        <w:jc w:val="both"/>
        <w:rPr>
          <w:rFonts w:ascii="Times New Roman" w:eastAsia="Times New Roman" w:hAnsi="Times New Roman" w:cs="Times New Roman"/>
          <w:sz w:val="24"/>
          <w:szCs w:val="24"/>
        </w:rPr>
      </w:pPr>
      <w:r w:rsidRPr="002A01FF">
        <w:rPr>
          <w:rFonts w:ascii="Times New Roman" w:hAnsi="Times New Roman" w:cs="Times New Roman"/>
          <w:sz w:val="24"/>
          <w:szCs w:val="24"/>
        </w:rPr>
        <w:t>2. To implement the developed system and conduct functional testing to verify the correct operation of the features and workflows.</w:t>
      </w:r>
    </w:p>
    <w:p w:rsidR="00F5418A" w:rsidRPr="002A01FF" w:rsidRDefault="00846432">
      <w:pPr>
        <w:spacing w:after="0" w:line="480" w:lineRule="auto"/>
        <w:jc w:val="both"/>
        <w:rPr>
          <w:rFonts w:ascii="Times New Roman" w:eastAsia="Times New Roman" w:hAnsi="Times New Roman" w:cs="Times New Roman"/>
          <w:sz w:val="24"/>
          <w:szCs w:val="24"/>
        </w:rPr>
      </w:pPr>
      <w:r w:rsidRPr="002A01FF">
        <w:rPr>
          <w:rFonts w:ascii="Times New Roman" w:hAnsi="Times New Roman" w:cs="Times New Roman"/>
          <w:sz w:val="24"/>
          <w:szCs w:val="24"/>
        </w:rPr>
        <w:t>3. To evaluate the system based on ISO/IEC 25010 standards in terms of:</w:t>
      </w:r>
    </w:p>
    <w:p w:rsidR="00F5418A" w:rsidRPr="002A01FF" w:rsidRDefault="00846432">
      <w:pPr>
        <w:spacing w:after="0" w:line="480" w:lineRule="auto"/>
        <w:ind w:left="360" w:firstLine="66"/>
        <w:jc w:val="both"/>
        <w:rPr>
          <w:rFonts w:ascii="Times New Roman" w:eastAsia="Times New Roman" w:hAnsi="Times New Roman" w:cs="Times New Roman"/>
          <w:sz w:val="24"/>
          <w:szCs w:val="24"/>
        </w:rPr>
      </w:pPr>
      <w:r w:rsidRPr="002A01FF">
        <w:rPr>
          <w:rFonts w:ascii="Times New Roman" w:hAnsi="Times New Roman" w:cs="Times New Roman"/>
          <w:sz w:val="24"/>
          <w:szCs w:val="24"/>
        </w:rPr>
        <w:t>3.1. Functional suitability</w:t>
      </w:r>
    </w:p>
    <w:p w:rsidR="00F5418A" w:rsidRPr="002A01FF" w:rsidRDefault="00846432">
      <w:pPr>
        <w:spacing w:after="0" w:line="480" w:lineRule="auto"/>
        <w:ind w:left="360" w:firstLine="66"/>
        <w:jc w:val="both"/>
        <w:rPr>
          <w:rFonts w:ascii="Times New Roman" w:eastAsia="Times New Roman" w:hAnsi="Times New Roman" w:cs="Times New Roman"/>
          <w:sz w:val="24"/>
          <w:szCs w:val="24"/>
        </w:rPr>
      </w:pPr>
      <w:r w:rsidRPr="002A01FF">
        <w:rPr>
          <w:rFonts w:ascii="Times New Roman" w:hAnsi="Times New Roman" w:cs="Times New Roman"/>
          <w:sz w:val="24"/>
          <w:szCs w:val="24"/>
        </w:rPr>
        <w:t>3.2. Performance efficiency</w:t>
      </w:r>
    </w:p>
    <w:p w:rsidR="00F5418A" w:rsidRPr="002A01FF" w:rsidRDefault="00846432">
      <w:pPr>
        <w:spacing w:after="0" w:line="480" w:lineRule="auto"/>
        <w:ind w:left="360" w:firstLine="66"/>
        <w:jc w:val="both"/>
        <w:rPr>
          <w:rFonts w:ascii="Times New Roman" w:eastAsia="Times New Roman" w:hAnsi="Times New Roman" w:cs="Times New Roman"/>
          <w:sz w:val="24"/>
          <w:szCs w:val="24"/>
        </w:rPr>
      </w:pPr>
      <w:r w:rsidRPr="002A01FF">
        <w:rPr>
          <w:rFonts w:ascii="Times New Roman" w:hAnsi="Times New Roman" w:cs="Times New Roman"/>
          <w:sz w:val="24"/>
          <w:szCs w:val="24"/>
        </w:rPr>
        <w:t>3.3. Usability</w:t>
      </w:r>
    </w:p>
    <w:p w:rsidR="00F5418A" w:rsidRPr="002A01FF" w:rsidRDefault="00846432">
      <w:pPr>
        <w:spacing w:after="0" w:line="480" w:lineRule="auto"/>
        <w:ind w:left="360" w:firstLine="66"/>
        <w:jc w:val="both"/>
        <w:rPr>
          <w:rFonts w:ascii="Times New Roman" w:eastAsia="Times New Roman" w:hAnsi="Times New Roman" w:cs="Times New Roman"/>
          <w:sz w:val="24"/>
          <w:szCs w:val="24"/>
        </w:rPr>
      </w:pPr>
      <w:r w:rsidRPr="002A01FF">
        <w:rPr>
          <w:rFonts w:ascii="Times New Roman" w:hAnsi="Times New Roman" w:cs="Times New Roman"/>
          <w:sz w:val="24"/>
          <w:szCs w:val="24"/>
        </w:rPr>
        <w:t>3.4. Compatibility</w:t>
      </w:r>
    </w:p>
    <w:p w:rsidR="00F5418A" w:rsidRPr="002A01FF" w:rsidRDefault="00846432">
      <w:pPr>
        <w:spacing w:after="0" w:line="480" w:lineRule="auto"/>
        <w:ind w:left="360" w:firstLine="66"/>
        <w:jc w:val="both"/>
        <w:rPr>
          <w:rFonts w:ascii="Times New Roman" w:eastAsia="Times New Roman" w:hAnsi="Times New Roman" w:cs="Times New Roman"/>
          <w:sz w:val="24"/>
          <w:szCs w:val="24"/>
        </w:rPr>
      </w:pPr>
      <w:r w:rsidRPr="002A01FF">
        <w:rPr>
          <w:rFonts w:ascii="Times New Roman" w:hAnsi="Times New Roman" w:cs="Times New Roman"/>
          <w:sz w:val="24"/>
          <w:szCs w:val="24"/>
        </w:rPr>
        <w:t>3.5. Reliability</w:t>
      </w:r>
    </w:p>
    <w:p w:rsidR="00F5418A" w:rsidRPr="002A01FF" w:rsidRDefault="00846432">
      <w:pPr>
        <w:spacing w:after="0" w:line="480" w:lineRule="auto"/>
        <w:ind w:left="360" w:firstLine="66"/>
        <w:jc w:val="both"/>
        <w:rPr>
          <w:rFonts w:ascii="Times New Roman" w:eastAsia="Times New Roman" w:hAnsi="Times New Roman" w:cs="Times New Roman"/>
          <w:sz w:val="24"/>
          <w:szCs w:val="24"/>
        </w:rPr>
      </w:pPr>
      <w:r w:rsidRPr="002A01FF">
        <w:rPr>
          <w:rFonts w:ascii="Times New Roman" w:hAnsi="Times New Roman" w:cs="Times New Roman"/>
          <w:sz w:val="24"/>
          <w:szCs w:val="24"/>
        </w:rPr>
        <w:t>3.6. Security</w:t>
      </w:r>
    </w:p>
    <w:p w:rsidR="00F5418A" w:rsidRPr="002A01FF" w:rsidRDefault="00846432">
      <w:pPr>
        <w:spacing w:after="0" w:line="480" w:lineRule="auto"/>
        <w:ind w:left="360" w:firstLine="66"/>
        <w:jc w:val="both"/>
        <w:rPr>
          <w:rFonts w:ascii="Times New Roman" w:eastAsia="Times New Roman" w:hAnsi="Times New Roman" w:cs="Times New Roman"/>
          <w:sz w:val="24"/>
          <w:szCs w:val="24"/>
        </w:rPr>
      </w:pPr>
      <w:r w:rsidRPr="002A01FF">
        <w:rPr>
          <w:rFonts w:ascii="Times New Roman" w:hAnsi="Times New Roman" w:cs="Times New Roman"/>
          <w:sz w:val="24"/>
          <w:szCs w:val="24"/>
        </w:rPr>
        <w:t>3.7. Maintainability</w:t>
      </w:r>
    </w:p>
    <w:p w:rsidR="00F5418A" w:rsidRPr="002A01FF" w:rsidRDefault="00846432">
      <w:pPr>
        <w:spacing w:after="0" w:line="480" w:lineRule="auto"/>
        <w:ind w:left="360" w:firstLine="66"/>
        <w:jc w:val="both"/>
        <w:rPr>
          <w:rFonts w:ascii="Times New Roman" w:eastAsia="Times New Roman" w:hAnsi="Times New Roman" w:cs="Times New Roman"/>
          <w:sz w:val="24"/>
          <w:szCs w:val="24"/>
        </w:rPr>
      </w:pPr>
      <w:r w:rsidRPr="002A01FF">
        <w:rPr>
          <w:rFonts w:ascii="Times New Roman" w:hAnsi="Times New Roman" w:cs="Times New Roman"/>
          <w:sz w:val="24"/>
          <w:szCs w:val="24"/>
        </w:rPr>
        <w:t>3.8. Portability</w:t>
      </w:r>
    </w:p>
    <w:p w:rsidR="00F5418A" w:rsidRPr="002A01FF" w:rsidRDefault="00F5418A">
      <w:pPr>
        <w:spacing w:after="0" w:line="480" w:lineRule="auto"/>
        <w:rPr>
          <w:rFonts w:ascii="Times New Roman" w:eastAsia="Times New Roman" w:hAnsi="Times New Roman" w:cs="Times New Roman"/>
          <w:sz w:val="24"/>
          <w:szCs w:val="24"/>
        </w:rPr>
      </w:pPr>
    </w:p>
    <w:p w:rsidR="00F5418A" w:rsidRPr="002A01FF" w:rsidRDefault="00846432">
      <w:pPr>
        <w:spacing w:after="0" w:line="480" w:lineRule="auto"/>
        <w:jc w:val="both"/>
        <w:rPr>
          <w:rFonts w:ascii="Times New Roman" w:eastAsia="Times New Roman" w:hAnsi="Times New Roman" w:cs="Times New Roman"/>
          <w:b/>
          <w:bCs/>
          <w:color w:val="000000"/>
          <w:sz w:val="24"/>
          <w:szCs w:val="24"/>
        </w:rPr>
      </w:pPr>
      <w:r w:rsidRPr="002A01FF">
        <w:rPr>
          <w:rFonts w:ascii="Times New Roman" w:eastAsia="Times New Roman" w:hAnsi="Times New Roman" w:cs="Times New Roman"/>
          <w:b/>
          <w:bCs/>
          <w:color w:val="000000"/>
          <w:sz w:val="24"/>
          <w:szCs w:val="24"/>
        </w:rPr>
        <w:t>Significance of the Study</w:t>
      </w:r>
    </w:p>
    <w:p w:rsidR="00F5418A" w:rsidRPr="002A01FF" w:rsidRDefault="00846432">
      <w:pPr>
        <w:spacing w:after="0" w:line="480" w:lineRule="auto"/>
        <w:ind w:firstLine="720"/>
        <w:jc w:val="both"/>
        <w:rPr>
          <w:rFonts w:ascii="Times New Roman" w:eastAsia="Times New Roman" w:hAnsi="Times New Roman" w:cs="Times New Roman"/>
          <w:sz w:val="24"/>
          <w:szCs w:val="24"/>
        </w:rPr>
      </w:pPr>
      <w:r w:rsidRPr="002A01FF">
        <w:rPr>
          <w:rFonts w:ascii="Times New Roman" w:eastAsia="Times New Roman" w:hAnsi="Times New Roman" w:cs="Times New Roman"/>
          <w:sz w:val="24"/>
          <w:szCs w:val="24"/>
        </w:rPr>
        <w:t>A.I.M.S. (Automated Intervention and Mastery System): A Web-Based Educational Platform with AI-Driven Assessment and Dynamic Remediation is marketed to be of substantial and positive importance to the following groupings:</w:t>
      </w:r>
    </w:p>
    <w:p w:rsidR="00F5418A" w:rsidRPr="002A01FF" w:rsidRDefault="00846432">
      <w:pPr>
        <w:spacing w:after="0" w:line="480" w:lineRule="auto"/>
        <w:ind w:firstLine="720"/>
        <w:jc w:val="both"/>
        <w:rPr>
          <w:rFonts w:ascii="Times New Roman" w:eastAsia="Times New Roman" w:hAnsi="Times New Roman" w:cs="Times New Roman"/>
          <w:sz w:val="24"/>
          <w:szCs w:val="24"/>
        </w:rPr>
      </w:pPr>
      <w:r w:rsidRPr="002A01FF">
        <w:rPr>
          <w:rFonts w:ascii="Times New Roman" w:eastAsia="Times New Roman" w:hAnsi="Times New Roman" w:cs="Times New Roman"/>
          <w:b/>
          <w:bCs/>
          <w:sz w:val="24"/>
          <w:szCs w:val="24"/>
        </w:rPr>
        <w:t>Teachers.</w:t>
      </w:r>
      <w:r w:rsidRPr="002A01FF">
        <w:rPr>
          <w:rFonts w:ascii="Times New Roman" w:eastAsia="Times New Roman" w:hAnsi="Times New Roman" w:cs="Times New Roman"/>
          <w:sz w:val="24"/>
          <w:szCs w:val="24"/>
        </w:rPr>
        <w:t xml:space="preserve"> The system helps teachers centralize learning modules, collect task submissions with recorded timestamps, and streamline assessment through instructor-validated AI-assisted quiz drafting and automated scoring. It also supports timely </w:t>
      </w:r>
      <w:r w:rsidRPr="002A01FF">
        <w:rPr>
          <w:rFonts w:ascii="Times New Roman" w:eastAsia="Times New Roman" w:hAnsi="Times New Roman" w:cs="Times New Roman"/>
          <w:sz w:val="24"/>
          <w:szCs w:val="24"/>
        </w:rPr>
        <w:lastRenderedPageBreak/>
        <w:t>intervention by surfacing mastery status and pending remedial activities for teacher review and approval, thereby reducing administrative workload and allowing teachers to focus more on instruction delivery and learner support.</w:t>
      </w:r>
    </w:p>
    <w:p w:rsidR="00F5418A" w:rsidRPr="002A01FF" w:rsidRDefault="00846432">
      <w:pPr>
        <w:spacing w:after="0" w:line="480" w:lineRule="auto"/>
        <w:ind w:firstLine="720"/>
        <w:jc w:val="both"/>
        <w:rPr>
          <w:rFonts w:ascii="Times New Roman" w:eastAsia="Times New Roman" w:hAnsi="Times New Roman" w:cs="Times New Roman"/>
          <w:sz w:val="24"/>
          <w:szCs w:val="24"/>
        </w:rPr>
      </w:pPr>
      <w:r w:rsidRPr="002A01FF">
        <w:rPr>
          <w:rFonts w:ascii="Times New Roman" w:eastAsia="Times New Roman" w:hAnsi="Times New Roman" w:cs="Times New Roman"/>
          <w:b/>
          <w:bCs/>
          <w:sz w:val="24"/>
          <w:szCs w:val="24"/>
        </w:rPr>
        <w:t>Students.</w:t>
      </w:r>
      <w:r w:rsidRPr="002A01FF">
        <w:rPr>
          <w:rFonts w:ascii="Times New Roman" w:eastAsia="Times New Roman" w:hAnsi="Times New Roman" w:cs="Times New Roman"/>
          <w:sz w:val="24"/>
          <w:szCs w:val="24"/>
        </w:rPr>
        <w:t xml:space="preserve"> A.I.M.S. enables students to access learning modules, submit tasks, and take assessments through a unified online portal. It provides immediate feedback for objective items, and when mastery is not achieved, it supports guided remediation through teacher-approved targeted remedial quizzes. This encourages self-directed learning and helps learners identify areas for improvement and mastery of content.</w:t>
      </w:r>
    </w:p>
    <w:p w:rsidR="00F5418A" w:rsidRPr="002A01FF" w:rsidRDefault="00846432">
      <w:pPr>
        <w:spacing w:after="0" w:line="480" w:lineRule="auto"/>
        <w:ind w:firstLine="720"/>
        <w:jc w:val="both"/>
        <w:rPr>
          <w:rFonts w:ascii="Times New Roman" w:eastAsia="Times New Roman" w:hAnsi="Times New Roman" w:cs="Times New Roman"/>
          <w:sz w:val="24"/>
          <w:szCs w:val="24"/>
        </w:rPr>
      </w:pPr>
      <w:r w:rsidRPr="002A01FF">
        <w:rPr>
          <w:rFonts w:ascii="Times New Roman" w:eastAsia="Times New Roman" w:hAnsi="Times New Roman" w:cs="Times New Roman"/>
          <w:b/>
          <w:bCs/>
          <w:sz w:val="24"/>
          <w:szCs w:val="24"/>
        </w:rPr>
        <w:t>Researchers.</w:t>
      </w:r>
      <w:r w:rsidRPr="002A01FF">
        <w:rPr>
          <w:rFonts w:ascii="Times New Roman" w:eastAsia="Times New Roman" w:hAnsi="Times New Roman" w:cs="Times New Roman"/>
          <w:sz w:val="24"/>
          <w:szCs w:val="24"/>
        </w:rPr>
        <w:t xml:space="preserve"> The research offers empirical evidence concerning the use of the AI-based web-based learning systems in the Philippine public schools environment. The effectiveness of the system to enhance the learning results, improve the process of assessments, and assist personalized learning can be studied by the researchers as the part of the overall literature on educational technology and AI-assisted learning.</w:t>
      </w:r>
    </w:p>
    <w:p w:rsidR="00F5418A" w:rsidRPr="002A01FF" w:rsidRDefault="00846432">
      <w:pPr>
        <w:spacing w:after="0" w:line="480" w:lineRule="auto"/>
        <w:ind w:firstLine="720"/>
        <w:jc w:val="both"/>
        <w:rPr>
          <w:rFonts w:ascii="Times New Roman" w:eastAsia="Times New Roman" w:hAnsi="Times New Roman" w:cs="Times New Roman"/>
          <w:sz w:val="24"/>
          <w:szCs w:val="24"/>
        </w:rPr>
      </w:pPr>
      <w:r w:rsidRPr="002A01FF">
        <w:rPr>
          <w:rFonts w:ascii="Times New Roman" w:eastAsia="Times New Roman" w:hAnsi="Times New Roman" w:cs="Times New Roman"/>
          <w:b/>
          <w:bCs/>
          <w:sz w:val="24"/>
          <w:szCs w:val="24"/>
        </w:rPr>
        <w:t>Future Researchers.</w:t>
      </w:r>
      <w:r w:rsidRPr="002A01FF">
        <w:rPr>
          <w:rFonts w:ascii="Times New Roman" w:eastAsia="Times New Roman" w:hAnsi="Times New Roman" w:cs="Times New Roman"/>
          <w:sz w:val="24"/>
          <w:szCs w:val="24"/>
        </w:rPr>
        <w:t xml:space="preserve"> The results and development experience of A.I.M.S. can be used as a base in the future studies of intelligent learning platforms. Researchers may extend on the structure of the system in future, add features or investigate other AI applications in education, creating new innovations to improve the teaching and learning experience in different teaching and learning environments.</w:t>
      </w:r>
    </w:p>
    <w:p w:rsidR="00F5418A" w:rsidRPr="002A01FF" w:rsidRDefault="00F5418A">
      <w:pPr>
        <w:spacing w:after="0" w:line="480" w:lineRule="auto"/>
        <w:ind w:firstLine="720"/>
        <w:jc w:val="both"/>
        <w:rPr>
          <w:rFonts w:ascii="Times New Roman" w:eastAsia="Times New Roman" w:hAnsi="Times New Roman" w:cs="Times New Roman"/>
          <w:sz w:val="24"/>
          <w:szCs w:val="24"/>
        </w:rPr>
      </w:pPr>
    </w:p>
    <w:p w:rsidR="00F5418A" w:rsidRPr="002A01FF" w:rsidRDefault="00846432">
      <w:pPr>
        <w:spacing w:after="0" w:line="480" w:lineRule="auto"/>
        <w:jc w:val="both"/>
        <w:rPr>
          <w:rFonts w:ascii="Times New Roman" w:eastAsia="Times New Roman" w:hAnsi="Times New Roman" w:cs="Times New Roman"/>
          <w:b/>
          <w:bCs/>
          <w:sz w:val="24"/>
          <w:szCs w:val="24"/>
        </w:rPr>
      </w:pPr>
      <w:r w:rsidRPr="002A01FF">
        <w:rPr>
          <w:rFonts w:ascii="Times New Roman" w:eastAsia="Times New Roman" w:hAnsi="Times New Roman" w:cs="Times New Roman"/>
          <w:b/>
          <w:bCs/>
          <w:sz w:val="24"/>
          <w:szCs w:val="24"/>
        </w:rPr>
        <w:t>Scope and Limitation of the Study</w:t>
      </w:r>
    </w:p>
    <w:p w:rsidR="00F5418A" w:rsidRPr="002A01FF" w:rsidRDefault="00846432">
      <w:pPr>
        <w:spacing w:after="0" w:line="480" w:lineRule="auto"/>
        <w:ind w:firstLine="720"/>
        <w:jc w:val="both"/>
        <w:rPr>
          <w:rFonts w:ascii="Times New Roman" w:eastAsia="Times New Roman" w:hAnsi="Times New Roman" w:cs="Times New Roman"/>
          <w:sz w:val="24"/>
          <w:szCs w:val="24"/>
        </w:rPr>
      </w:pPr>
      <w:bookmarkStart w:id="1" w:name="_b4o6gerey754" w:colFirst="0" w:colLast="0"/>
      <w:bookmarkEnd w:id="1"/>
      <w:r w:rsidRPr="002A01FF">
        <w:rPr>
          <w:rFonts w:ascii="Times New Roman" w:eastAsia="Times New Roman" w:hAnsi="Times New Roman" w:cs="Times New Roman"/>
          <w:sz w:val="24"/>
          <w:szCs w:val="24"/>
        </w:rPr>
        <w:t xml:space="preserve">This study focuses on the design, development, and evaluation of A.I.M.S. (Automated Intervention and Mastery System): A Web-Based Educational Platform with </w:t>
      </w:r>
      <w:r w:rsidRPr="002A01FF">
        <w:rPr>
          <w:rFonts w:ascii="Times New Roman" w:eastAsia="Times New Roman" w:hAnsi="Times New Roman" w:cs="Times New Roman"/>
          <w:sz w:val="24"/>
          <w:szCs w:val="24"/>
        </w:rPr>
        <w:lastRenderedPageBreak/>
        <w:t>AI-Driven Assessment and Dynamic Remediation, proposed for implementation in Hinigaran National High School as a public secondary school setting.</w:t>
      </w:r>
    </w:p>
    <w:p w:rsidR="00F5418A" w:rsidRPr="002A01FF" w:rsidRDefault="00846432">
      <w:pPr>
        <w:spacing w:after="0" w:line="480" w:lineRule="auto"/>
        <w:ind w:firstLine="720"/>
        <w:jc w:val="both"/>
        <w:rPr>
          <w:rFonts w:ascii="Times New Roman" w:eastAsia="Times New Roman" w:hAnsi="Times New Roman" w:cs="Times New Roman"/>
          <w:sz w:val="24"/>
          <w:szCs w:val="24"/>
        </w:rPr>
      </w:pPr>
      <w:r w:rsidRPr="002A01FF">
        <w:rPr>
          <w:rFonts w:ascii="Times New Roman" w:hAnsi="Times New Roman" w:cs="Times New Roman"/>
          <w:sz w:val="24"/>
          <w:szCs w:val="24"/>
        </w:rPr>
        <w:t>Its core technical scope includes a centralized learning portal for material distribution and task submission, an AI-powered quiz generator with strict instructor validation controls, and an automated assessment and grading engine supporting teacher validation. To address learning gaps, it features a dynamic remedial quiz generator for targeted student intervention, queued for instructor approval prior to deployment, and driven by a mastery-based learning module with teacher-configurable progression locks, passing thresholds, and instructor override controls. The system is specifically designed to serve public secondary schools and may require structural modifications for tertiary or private institutions. Furthermore, while the quiz generation utilizes generative Large Language Models (LLMs), instructor validation remains a mandatory system requirement to ensure all materials meet contextual DepEd curriculum standards.</w:t>
      </w:r>
    </w:p>
    <w:p w:rsidR="00F5418A" w:rsidRPr="002A01FF" w:rsidRDefault="00F5418A">
      <w:pPr>
        <w:spacing w:after="0" w:line="480" w:lineRule="auto"/>
        <w:rPr>
          <w:rFonts w:ascii="Times New Roman" w:eastAsia="Times New Roman" w:hAnsi="Times New Roman" w:cs="Times New Roman"/>
          <w:sz w:val="24"/>
          <w:szCs w:val="24"/>
        </w:rPr>
      </w:pPr>
    </w:p>
    <w:p w:rsidR="00F5418A" w:rsidRPr="002A01FF" w:rsidRDefault="00846432">
      <w:pPr>
        <w:spacing w:after="0" w:line="480" w:lineRule="auto"/>
        <w:jc w:val="both"/>
        <w:rPr>
          <w:rFonts w:ascii="Times New Roman" w:eastAsia="Times New Roman" w:hAnsi="Times New Roman" w:cs="Times New Roman"/>
          <w:b/>
          <w:bCs/>
          <w:sz w:val="24"/>
          <w:szCs w:val="24"/>
        </w:rPr>
      </w:pPr>
      <w:r w:rsidRPr="002A01FF">
        <w:rPr>
          <w:rFonts w:ascii="Times New Roman" w:eastAsia="Times New Roman" w:hAnsi="Times New Roman" w:cs="Times New Roman"/>
          <w:b/>
          <w:bCs/>
          <w:sz w:val="24"/>
          <w:szCs w:val="24"/>
        </w:rPr>
        <w:t>Definition of Terms</w:t>
      </w:r>
    </w:p>
    <w:p w:rsidR="00F5418A" w:rsidRPr="002A01FF" w:rsidRDefault="00846432">
      <w:pPr>
        <w:spacing w:after="0" w:line="480" w:lineRule="auto"/>
        <w:ind w:firstLine="720"/>
        <w:jc w:val="both"/>
        <w:rPr>
          <w:rFonts w:ascii="Times New Roman" w:eastAsia="Times New Roman" w:hAnsi="Times New Roman" w:cs="Times New Roman"/>
          <w:sz w:val="24"/>
          <w:szCs w:val="24"/>
        </w:rPr>
      </w:pPr>
      <w:r w:rsidRPr="002A01FF">
        <w:rPr>
          <w:rFonts w:ascii="Times New Roman" w:eastAsia="Times New Roman" w:hAnsi="Times New Roman" w:cs="Times New Roman"/>
          <w:sz w:val="24"/>
          <w:szCs w:val="24"/>
        </w:rPr>
        <w:t>For a clearer understanding of the study, the following terms are defined both contextually based on existing literature and operationally as they are used in the context of A.I.M.S.</w:t>
      </w:r>
    </w:p>
    <w:p w:rsidR="00F5418A" w:rsidRPr="002A01FF" w:rsidRDefault="00846432">
      <w:pPr>
        <w:pBdr>
          <w:top w:val="nil"/>
          <w:left w:val="nil"/>
          <w:bottom w:val="nil"/>
          <w:right w:val="nil"/>
          <w:between w:val="nil"/>
        </w:pBdr>
        <w:spacing w:after="0" w:line="480" w:lineRule="auto"/>
        <w:ind w:firstLine="720"/>
        <w:jc w:val="both"/>
        <w:rPr>
          <w:rFonts w:ascii="Times New Roman" w:eastAsia="Times New Roman" w:hAnsi="Times New Roman" w:cs="Times New Roman"/>
          <w:color w:val="000000"/>
          <w:sz w:val="24"/>
          <w:szCs w:val="24"/>
        </w:rPr>
      </w:pPr>
      <w:r w:rsidRPr="002A01FF">
        <w:rPr>
          <w:rFonts w:ascii="Times New Roman" w:eastAsia="Times New Roman" w:hAnsi="Times New Roman" w:cs="Times New Roman"/>
          <w:b/>
          <w:bCs/>
          <w:color w:val="000000"/>
          <w:sz w:val="24"/>
          <w:szCs w:val="24"/>
        </w:rPr>
        <w:t>AI-Powered Quiz Generator.</w:t>
      </w:r>
      <w:r w:rsidRPr="002A01FF">
        <w:rPr>
          <w:rFonts w:ascii="Times New Roman" w:eastAsia="Times New Roman" w:hAnsi="Times New Roman" w:cs="Times New Roman"/>
          <w:color w:val="000000"/>
          <w:sz w:val="24"/>
          <w:szCs w:val="24"/>
        </w:rPr>
        <w:t xml:space="preserve"> Contextually, this refers to the use of neural question generation techniques and natural language processing to automatically create educationally valuable assessment items from learning materials, ensuring both fluency and pedagogical relevance (Bulathwela et al., 2023).</w:t>
      </w:r>
    </w:p>
    <w:p w:rsidR="00F5418A" w:rsidRPr="002A01FF" w:rsidRDefault="00846432">
      <w:pPr>
        <w:pBdr>
          <w:top w:val="nil"/>
          <w:left w:val="nil"/>
          <w:bottom w:val="nil"/>
          <w:right w:val="nil"/>
          <w:between w:val="nil"/>
        </w:pBdr>
        <w:spacing w:after="0" w:line="480" w:lineRule="auto"/>
        <w:ind w:firstLine="720"/>
        <w:jc w:val="both"/>
        <w:rPr>
          <w:rFonts w:ascii="Times New Roman" w:eastAsia="Times New Roman" w:hAnsi="Times New Roman" w:cs="Times New Roman"/>
          <w:color w:val="000000"/>
          <w:sz w:val="24"/>
          <w:szCs w:val="24"/>
        </w:rPr>
      </w:pPr>
      <w:r w:rsidRPr="002A01FF">
        <w:rPr>
          <w:rFonts w:ascii="Times New Roman" w:hAnsi="Times New Roman" w:cs="Times New Roman"/>
          <w:sz w:val="24"/>
          <w:szCs w:val="24"/>
        </w:rPr>
        <w:lastRenderedPageBreak/>
        <w:t>Operationally, in this study, it refers to the module in A.I.M.S. that uses the Google Gemini API to draft objective quiz items (e.g., multiple-choice) from teacher-selected learning materials or prompts, including distractors and answer keys, and requires teacher review, editing, and approval before a quiz is deployed to students.</w:t>
      </w:r>
    </w:p>
    <w:p w:rsidR="00F5418A" w:rsidRPr="002A01FF" w:rsidRDefault="00846432">
      <w:pPr>
        <w:pBdr>
          <w:top w:val="nil"/>
          <w:left w:val="nil"/>
          <w:bottom w:val="nil"/>
          <w:right w:val="nil"/>
          <w:between w:val="nil"/>
        </w:pBdr>
        <w:spacing w:after="0" w:line="480" w:lineRule="auto"/>
        <w:ind w:firstLine="720"/>
        <w:jc w:val="both"/>
        <w:rPr>
          <w:rFonts w:ascii="Times New Roman" w:eastAsia="Times New Roman" w:hAnsi="Times New Roman" w:cs="Times New Roman"/>
          <w:color w:val="000000"/>
          <w:sz w:val="24"/>
          <w:szCs w:val="24"/>
        </w:rPr>
      </w:pPr>
      <w:r w:rsidRPr="002A01FF">
        <w:rPr>
          <w:rFonts w:ascii="Times New Roman" w:eastAsia="Times New Roman" w:hAnsi="Times New Roman" w:cs="Times New Roman"/>
          <w:b/>
          <w:bCs/>
          <w:color w:val="000000"/>
          <w:sz w:val="24"/>
          <w:szCs w:val="24"/>
        </w:rPr>
        <w:t>Automated Assessment and Grading Engine.</w:t>
      </w:r>
      <w:r w:rsidRPr="002A01FF">
        <w:rPr>
          <w:rFonts w:ascii="Times New Roman" w:eastAsia="Times New Roman" w:hAnsi="Times New Roman" w:cs="Times New Roman"/>
          <w:color w:val="000000"/>
          <w:sz w:val="24"/>
          <w:szCs w:val="24"/>
        </w:rPr>
        <w:t xml:space="preserve"> Contextually, it refers to the use of algorithms and natural language processing to evaluate student responses and assign scores based on predefined assessment criteria, reducing manual grading workload while maintaining consistency (Ramesh &amp; Sanampudi, 2022).</w:t>
      </w:r>
    </w:p>
    <w:p w:rsidR="00F5418A" w:rsidRPr="002A01FF" w:rsidRDefault="00846432">
      <w:pPr>
        <w:pBdr>
          <w:top w:val="nil"/>
          <w:left w:val="nil"/>
          <w:bottom w:val="nil"/>
          <w:right w:val="nil"/>
          <w:between w:val="nil"/>
        </w:pBdr>
        <w:spacing w:after="0" w:line="480" w:lineRule="auto"/>
        <w:ind w:firstLine="720"/>
        <w:jc w:val="both"/>
        <w:rPr>
          <w:rFonts w:ascii="Times New Roman" w:eastAsia="Times New Roman" w:hAnsi="Times New Roman" w:cs="Times New Roman"/>
          <w:color w:val="000000"/>
          <w:sz w:val="24"/>
          <w:szCs w:val="24"/>
        </w:rPr>
      </w:pPr>
      <w:r w:rsidRPr="002A01FF">
        <w:rPr>
          <w:rFonts w:ascii="Times New Roman" w:hAnsi="Times New Roman" w:cs="Times New Roman"/>
          <w:sz w:val="24"/>
          <w:szCs w:val="24"/>
        </w:rPr>
        <w:t>Operationally, it is the system component in A.I.M.S. that administers quizzes, records responses securely, and automatically computes preliminary scores for objective items. For responses requiring human judgment, it supports teacher validation using customizable rubrics before final scores are logged and made visible to students as feedback.</w:t>
      </w:r>
    </w:p>
    <w:p w:rsidR="00F5418A" w:rsidRPr="002A01FF" w:rsidRDefault="00846432">
      <w:pPr>
        <w:pBdr>
          <w:top w:val="nil"/>
          <w:left w:val="nil"/>
          <w:bottom w:val="nil"/>
          <w:right w:val="nil"/>
          <w:between w:val="nil"/>
        </w:pBdr>
        <w:spacing w:after="0" w:line="480" w:lineRule="auto"/>
        <w:ind w:firstLine="720"/>
        <w:jc w:val="both"/>
        <w:rPr>
          <w:rFonts w:ascii="Times New Roman" w:eastAsia="Times New Roman" w:hAnsi="Times New Roman" w:cs="Times New Roman"/>
          <w:color w:val="000000"/>
          <w:sz w:val="24"/>
          <w:szCs w:val="24"/>
        </w:rPr>
      </w:pPr>
      <w:r w:rsidRPr="002A01FF">
        <w:rPr>
          <w:rFonts w:ascii="Times New Roman" w:eastAsia="Times New Roman" w:hAnsi="Times New Roman" w:cs="Times New Roman"/>
          <w:b/>
          <w:bCs/>
          <w:color w:val="000000"/>
          <w:sz w:val="24"/>
          <w:szCs w:val="24"/>
        </w:rPr>
        <w:t>Centralized Learning Portal. Contextually, this is an integrated online platform within a learning management system that supports structured content delivery and access to learning resources, as well as course activities and assessments (Dahal &amp; Manandhar, 2024).</w:t>
      </w:r>
    </w:p>
    <w:p w:rsidR="00F5418A" w:rsidRPr="002A01FF" w:rsidRDefault="00846432">
      <w:pPr>
        <w:pBdr>
          <w:top w:val="nil"/>
          <w:left w:val="nil"/>
          <w:bottom w:val="nil"/>
          <w:right w:val="nil"/>
          <w:between w:val="nil"/>
        </w:pBdr>
        <w:spacing w:after="0" w:line="480" w:lineRule="auto"/>
        <w:ind w:firstLine="720"/>
        <w:jc w:val="both"/>
        <w:rPr>
          <w:rFonts w:ascii="Times New Roman" w:eastAsia="Times New Roman" w:hAnsi="Times New Roman" w:cs="Times New Roman"/>
          <w:color w:val="000000"/>
          <w:sz w:val="24"/>
          <w:szCs w:val="24"/>
        </w:rPr>
      </w:pPr>
      <w:r w:rsidRPr="002A01FF">
        <w:rPr>
          <w:rFonts w:ascii="Times New Roman" w:hAnsi="Times New Roman" w:cs="Times New Roman"/>
          <w:sz w:val="24"/>
          <w:szCs w:val="24"/>
        </w:rPr>
        <w:t>Operationally, it is the centralized learning portal feature in A.I.M.S. that allows teachers to upload and organize learning materials and tasks by subject and grade level, enables students to securely access and download modules, and supports online task submission with automatic logging of submission timestamps for teacher review.</w:t>
      </w:r>
    </w:p>
    <w:p w:rsidR="00F5418A" w:rsidRPr="002A01FF" w:rsidRDefault="00846432">
      <w:pPr>
        <w:pBdr>
          <w:top w:val="nil"/>
          <w:left w:val="nil"/>
          <w:bottom w:val="nil"/>
          <w:right w:val="nil"/>
          <w:between w:val="nil"/>
        </w:pBdr>
        <w:spacing w:after="0" w:line="480" w:lineRule="auto"/>
        <w:ind w:firstLine="720"/>
        <w:jc w:val="both"/>
        <w:rPr>
          <w:rFonts w:ascii="Times New Roman" w:eastAsia="Times New Roman" w:hAnsi="Times New Roman" w:cs="Times New Roman"/>
          <w:color w:val="000000"/>
          <w:sz w:val="24"/>
          <w:szCs w:val="24"/>
        </w:rPr>
      </w:pPr>
      <w:r w:rsidRPr="002A01FF">
        <w:rPr>
          <w:rFonts w:ascii="Times New Roman" w:eastAsia="Times New Roman" w:hAnsi="Times New Roman" w:cs="Times New Roman"/>
          <w:b/>
          <w:bCs/>
          <w:color w:val="000000"/>
          <w:sz w:val="24"/>
          <w:szCs w:val="24"/>
        </w:rPr>
        <w:lastRenderedPageBreak/>
        <w:t>Mastery-Based Learning Module.</w:t>
      </w:r>
      <w:r w:rsidRPr="002A01FF">
        <w:rPr>
          <w:rFonts w:ascii="Times New Roman" w:eastAsia="Times New Roman" w:hAnsi="Times New Roman" w:cs="Times New Roman"/>
          <w:color w:val="000000"/>
          <w:sz w:val="24"/>
          <w:szCs w:val="24"/>
        </w:rPr>
        <w:t xml:space="preserve"> Contextually, in competency-based education, this is a progression mechanism where students acquire knowledge and complete formative assessments, proceeding to new content only after demonstrating mastery of prerequisite material through corrective pathways and retesting (Persky &amp; Hughes, 2022).</w:t>
      </w:r>
    </w:p>
    <w:p w:rsidR="00F5418A" w:rsidRPr="002A01FF" w:rsidRDefault="00846432">
      <w:pPr>
        <w:pBdr>
          <w:top w:val="nil"/>
          <w:left w:val="nil"/>
          <w:bottom w:val="nil"/>
          <w:right w:val="nil"/>
          <w:between w:val="nil"/>
        </w:pBdr>
        <w:spacing w:after="0" w:line="480" w:lineRule="auto"/>
        <w:ind w:firstLine="720"/>
        <w:jc w:val="both"/>
        <w:rPr>
          <w:rFonts w:ascii="Times New Roman" w:eastAsia="Times New Roman" w:hAnsi="Times New Roman" w:cs="Times New Roman"/>
          <w:color w:val="000000"/>
          <w:sz w:val="24"/>
          <w:szCs w:val="24"/>
        </w:rPr>
      </w:pPr>
      <w:r w:rsidRPr="002A01FF">
        <w:rPr>
          <w:rFonts w:ascii="Times New Roman" w:hAnsi="Times New Roman" w:cs="Times New Roman"/>
          <w:sz w:val="24"/>
          <w:szCs w:val="24"/>
        </w:rPr>
        <w:t>Operationally, it is the conditional progression feature in A.I.M.S. that restricts access to subsequent lessons until students meet a teacher-defined passing threshold on prerequisite assessments. When mastery is not achieved, progression remains locked until the learner completes teacher-approved remedial activities, unless the teacher manually overrides the lock.</w:t>
      </w:r>
    </w:p>
    <w:p w:rsidR="00F5418A" w:rsidRPr="002A01FF" w:rsidRDefault="00846432">
      <w:pPr>
        <w:pBdr>
          <w:top w:val="nil"/>
          <w:left w:val="nil"/>
          <w:bottom w:val="nil"/>
          <w:right w:val="nil"/>
          <w:between w:val="nil"/>
        </w:pBdr>
        <w:spacing w:after="0" w:line="480" w:lineRule="auto"/>
        <w:ind w:firstLine="720"/>
        <w:jc w:val="both"/>
        <w:rPr>
          <w:rFonts w:ascii="Times New Roman" w:eastAsia="Times New Roman" w:hAnsi="Times New Roman" w:cs="Times New Roman"/>
          <w:color w:val="000000"/>
          <w:sz w:val="24"/>
          <w:szCs w:val="24"/>
        </w:rPr>
      </w:pPr>
      <w:r w:rsidRPr="002A01FF">
        <w:rPr>
          <w:rFonts w:ascii="Times New Roman" w:eastAsia="Times New Roman" w:hAnsi="Times New Roman" w:cs="Times New Roman"/>
          <w:b/>
          <w:bCs/>
          <w:color w:val="000000"/>
          <w:sz w:val="24"/>
          <w:szCs w:val="24"/>
        </w:rPr>
        <w:t xml:space="preserve">Dynamic Remedial Quiz Generator. </w:t>
      </w:r>
      <w:r w:rsidRPr="002A01FF">
        <w:rPr>
          <w:rFonts w:ascii="Times New Roman" w:eastAsia="Times New Roman" w:hAnsi="Times New Roman" w:cs="Times New Roman"/>
          <w:bCs/>
          <w:color w:val="000000"/>
          <w:sz w:val="24"/>
          <w:szCs w:val="24"/>
        </w:rPr>
        <w:t>Contextually, this refers to an adaptive remediation mechanism that delivers targeted corrective assessment activities aligned with identified learning gaps to support mastery learning and timely intervention (Persky &amp; Hughes, 2022).</w:t>
      </w:r>
    </w:p>
    <w:p w:rsidR="00F5418A" w:rsidRPr="002A01FF" w:rsidRDefault="00846432">
      <w:pPr>
        <w:pBdr>
          <w:top w:val="nil"/>
          <w:left w:val="nil"/>
          <w:bottom w:val="nil"/>
          <w:right w:val="nil"/>
          <w:between w:val="nil"/>
        </w:pBdr>
        <w:spacing w:after="0" w:line="480" w:lineRule="auto"/>
        <w:ind w:firstLine="720"/>
        <w:jc w:val="both"/>
        <w:rPr>
          <w:rFonts w:ascii="Times New Roman" w:eastAsia="Times New Roman" w:hAnsi="Times New Roman" w:cs="Times New Roman"/>
          <w:color w:val="000000"/>
          <w:sz w:val="24"/>
          <w:szCs w:val="24"/>
        </w:rPr>
      </w:pPr>
      <w:r w:rsidRPr="002A01FF">
        <w:rPr>
          <w:rFonts w:ascii="Times New Roman" w:hAnsi="Times New Roman" w:cs="Times New Roman"/>
          <w:sz w:val="24"/>
          <w:szCs w:val="24"/>
        </w:rPr>
        <w:t>Operationally, it is the A.I.M.S. component that generates targeted remedial quizzes based on a learner's assessment results and DepEd learning competencies using generative Large Language Models (LLMs). Remedial quizzes are saved as pending interventions and require instructor validation and approval before they are deployed to the student for re-assessment.</w:t>
      </w:r>
    </w:p>
    <w:p w:rsidR="00F5418A" w:rsidRPr="002A01FF" w:rsidRDefault="00846432">
      <w:pPr>
        <w:pBdr>
          <w:top w:val="nil"/>
          <w:left w:val="nil"/>
          <w:bottom w:val="nil"/>
          <w:right w:val="nil"/>
          <w:between w:val="nil"/>
        </w:pBdr>
        <w:spacing w:after="0" w:line="480" w:lineRule="auto"/>
        <w:ind w:firstLine="720"/>
        <w:jc w:val="both"/>
        <w:rPr>
          <w:rFonts w:ascii="Times New Roman" w:eastAsia="Times New Roman" w:hAnsi="Times New Roman" w:cs="Times New Roman"/>
          <w:color w:val="000000"/>
          <w:sz w:val="24"/>
          <w:szCs w:val="24"/>
        </w:rPr>
      </w:pPr>
      <w:r w:rsidRPr="002A01FF">
        <w:rPr>
          <w:rFonts w:ascii="Times New Roman" w:eastAsia="Times New Roman" w:hAnsi="Times New Roman" w:cs="Times New Roman"/>
          <w:b/>
          <w:bCs/>
          <w:color w:val="000000"/>
          <w:sz w:val="24"/>
          <w:szCs w:val="24"/>
        </w:rPr>
        <w:t>ISO/IEC 25010.</w:t>
      </w:r>
      <w:r w:rsidRPr="002A01FF">
        <w:rPr>
          <w:rFonts w:ascii="Times New Roman" w:eastAsia="Times New Roman" w:hAnsi="Times New Roman" w:cs="Times New Roman"/>
          <w:color w:val="000000"/>
          <w:sz w:val="24"/>
          <w:szCs w:val="24"/>
        </w:rPr>
        <w:t xml:space="preserve"> Contextually, it is the international software quality standard that defines eight characteristics for evaluating system and software products: functional suitability, performance efficiency, compatibility, usability, reliability, security, maintainability, and portability (ISO/IEC, 2011).</w:t>
      </w:r>
    </w:p>
    <w:p w:rsidR="00F5418A" w:rsidRPr="002A01FF" w:rsidRDefault="00846432">
      <w:pPr>
        <w:pBdr>
          <w:top w:val="nil"/>
          <w:left w:val="nil"/>
          <w:bottom w:val="nil"/>
          <w:right w:val="nil"/>
          <w:between w:val="nil"/>
        </w:pBdr>
        <w:spacing w:after="0" w:line="480" w:lineRule="auto"/>
        <w:ind w:firstLine="720"/>
        <w:jc w:val="both"/>
        <w:rPr>
          <w:rFonts w:ascii="Times New Roman" w:eastAsia="Times New Roman" w:hAnsi="Times New Roman" w:cs="Times New Roman"/>
          <w:color w:val="000000"/>
          <w:sz w:val="24"/>
          <w:szCs w:val="24"/>
        </w:rPr>
      </w:pPr>
      <w:r w:rsidRPr="002A01FF">
        <w:rPr>
          <w:rFonts w:ascii="Times New Roman" w:hAnsi="Times New Roman" w:cs="Times New Roman"/>
          <w:sz w:val="24"/>
          <w:szCs w:val="24"/>
        </w:rPr>
        <w:lastRenderedPageBreak/>
        <w:t>Operationally, it is the standardized evaluation framework used by the researchers to rigorously assess A.I.M.S. system quality, effectiveness, and user satisfaction through surveys and functional testing during the validation phase.</w:t>
      </w:r>
    </w:p>
    <w:p w:rsidR="00F5418A" w:rsidRPr="002A01FF" w:rsidRDefault="00F5418A">
      <w:pPr>
        <w:spacing w:after="0" w:line="480" w:lineRule="auto"/>
        <w:rPr>
          <w:rFonts w:ascii="Times New Roman" w:eastAsia="Times New Roman" w:hAnsi="Times New Roman" w:cs="Times New Roman"/>
          <w:sz w:val="24"/>
          <w:szCs w:val="24"/>
        </w:rPr>
      </w:pPr>
    </w:p>
    <w:p w:rsidR="00F5418A" w:rsidRPr="002A01FF" w:rsidRDefault="00F5418A">
      <w:pPr>
        <w:spacing w:after="0" w:line="480" w:lineRule="auto"/>
        <w:rPr>
          <w:rFonts w:ascii="Times New Roman" w:eastAsia="Times New Roman" w:hAnsi="Times New Roman" w:cs="Times New Roman"/>
          <w:sz w:val="24"/>
          <w:szCs w:val="24"/>
        </w:rPr>
      </w:pPr>
    </w:p>
    <w:p w:rsidR="00F5418A" w:rsidRDefault="00F5418A">
      <w:pPr>
        <w:spacing w:after="0" w:line="480" w:lineRule="auto"/>
        <w:rPr>
          <w:rFonts w:ascii="Times New Roman" w:eastAsia="Times New Roman" w:hAnsi="Times New Roman" w:cs="Times New Roman"/>
          <w:sz w:val="24"/>
          <w:szCs w:val="24"/>
        </w:rPr>
      </w:pPr>
    </w:p>
    <w:p w:rsidR="00F5418A" w:rsidRDefault="00F5418A">
      <w:pPr>
        <w:spacing w:after="0" w:line="480" w:lineRule="auto"/>
        <w:rPr>
          <w:rFonts w:ascii="Times New Roman" w:eastAsia="Times New Roman" w:hAnsi="Times New Roman" w:cs="Times New Roman"/>
          <w:sz w:val="24"/>
          <w:szCs w:val="24"/>
        </w:rPr>
      </w:pPr>
    </w:p>
    <w:p w:rsidR="00F5418A" w:rsidRDefault="00F5418A">
      <w:pPr>
        <w:spacing w:after="0" w:line="480" w:lineRule="auto"/>
        <w:rPr>
          <w:rFonts w:ascii="Times New Roman" w:eastAsia="Times New Roman" w:hAnsi="Times New Roman" w:cs="Times New Roman"/>
          <w:sz w:val="24"/>
          <w:szCs w:val="24"/>
        </w:rPr>
      </w:pPr>
    </w:p>
    <w:p w:rsidR="002A01FF" w:rsidRDefault="002A01FF">
      <w:pPr>
        <w:rPr>
          <w:rFonts w:ascii="Times New Roman" w:eastAsia="Times New Roman" w:hAnsi="Times New Roman" w:cs="Times New Roman"/>
          <w:sz w:val="24"/>
          <w:szCs w:val="24"/>
        </w:rPr>
      </w:pPr>
    </w:p>
    <w:p w:rsidR="002A01FF" w:rsidRDefault="002A01FF">
      <w:pPr>
        <w:rPr>
          <w:rFonts w:ascii="Times New Roman" w:eastAsia="Times New Roman" w:hAnsi="Times New Roman" w:cs="Times New Roman"/>
          <w:sz w:val="24"/>
          <w:szCs w:val="24"/>
        </w:rPr>
      </w:pPr>
    </w:p>
    <w:p w:rsidR="006B65FA" w:rsidRDefault="006B65FA">
      <w:pPr>
        <w:rPr>
          <w:rFonts w:ascii="Times New Roman" w:eastAsia="Times New Roman" w:hAnsi="Times New Roman" w:cs="Times New Roman"/>
          <w:sz w:val="24"/>
          <w:szCs w:val="24"/>
        </w:rPr>
      </w:pPr>
    </w:p>
    <w:p w:rsidR="006B65FA" w:rsidRDefault="006B65FA">
      <w:pPr>
        <w:rPr>
          <w:rFonts w:ascii="Times New Roman" w:eastAsia="Times New Roman" w:hAnsi="Times New Roman" w:cs="Times New Roman"/>
          <w:sz w:val="24"/>
          <w:szCs w:val="24"/>
        </w:rPr>
      </w:pPr>
    </w:p>
    <w:p w:rsidR="002A01FF" w:rsidRDefault="002A01FF">
      <w:pPr>
        <w:rPr>
          <w:rFonts w:ascii="Times New Roman" w:eastAsia="Times New Roman" w:hAnsi="Times New Roman" w:cs="Times New Roman"/>
          <w:sz w:val="24"/>
          <w:szCs w:val="24"/>
        </w:rPr>
      </w:pPr>
    </w:p>
    <w:p w:rsidR="002A01FF" w:rsidRDefault="002A01FF">
      <w:pPr>
        <w:rPr>
          <w:rFonts w:ascii="Times New Roman" w:eastAsia="Times New Roman" w:hAnsi="Times New Roman" w:cs="Times New Roman"/>
          <w:sz w:val="24"/>
          <w:szCs w:val="24"/>
        </w:rPr>
      </w:pPr>
    </w:p>
    <w:p w:rsidR="002A01FF" w:rsidRDefault="002A01FF">
      <w:pPr>
        <w:rPr>
          <w:rFonts w:ascii="Times New Roman" w:eastAsia="Times New Roman" w:hAnsi="Times New Roman" w:cs="Times New Roman"/>
          <w:sz w:val="24"/>
          <w:szCs w:val="24"/>
        </w:rPr>
      </w:pPr>
    </w:p>
    <w:p w:rsidR="002A01FF" w:rsidRDefault="002A01FF">
      <w:pPr>
        <w:rPr>
          <w:rFonts w:ascii="Times New Roman" w:eastAsia="Times New Roman" w:hAnsi="Times New Roman" w:cs="Times New Roman"/>
          <w:sz w:val="24"/>
          <w:szCs w:val="24"/>
        </w:rPr>
      </w:pPr>
    </w:p>
    <w:p w:rsidR="002A01FF" w:rsidRDefault="002A01FF">
      <w:pPr>
        <w:rPr>
          <w:rFonts w:ascii="Times New Roman" w:eastAsia="Times New Roman" w:hAnsi="Times New Roman" w:cs="Times New Roman"/>
          <w:sz w:val="24"/>
          <w:szCs w:val="24"/>
        </w:rPr>
      </w:pPr>
    </w:p>
    <w:p w:rsidR="002A01FF" w:rsidRDefault="002A01FF">
      <w:pPr>
        <w:rPr>
          <w:rFonts w:ascii="Times New Roman" w:eastAsia="Times New Roman" w:hAnsi="Times New Roman" w:cs="Times New Roman"/>
          <w:sz w:val="24"/>
          <w:szCs w:val="24"/>
        </w:rPr>
      </w:pPr>
    </w:p>
    <w:p w:rsidR="002A01FF" w:rsidRDefault="002A01FF">
      <w:pPr>
        <w:rPr>
          <w:rFonts w:ascii="Times New Roman" w:eastAsia="Times New Roman" w:hAnsi="Times New Roman" w:cs="Times New Roman"/>
          <w:sz w:val="24"/>
          <w:szCs w:val="24"/>
        </w:rPr>
      </w:pPr>
    </w:p>
    <w:p w:rsidR="002A01FF" w:rsidRDefault="002A01FF">
      <w:pPr>
        <w:rPr>
          <w:rFonts w:ascii="Times New Roman" w:eastAsia="Times New Roman" w:hAnsi="Times New Roman" w:cs="Times New Roman"/>
          <w:sz w:val="24"/>
          <w:szCs w:val="24"/>
        </w:rPr>
      </w:pPr>
    </w:p>
    <w:p w:rsidR="002A01FF" w:rsidRDefault="002A01FF">
      <w:pPr>
        <w:rPr>
          <w:rFonts w:ascii="Times New Roman" w:eastAsia="Times New Roman" w:hAnsi="Times New Roman" w:cs="Times New Roman"/>
          <w:sz w:val="24"/>
          <w:szCs w:val="24"/>
        </w:rPr>
      </w:pPr>
    </w:p>
    <w:p w:rsidR="002A01FF" w:rsidRDefault="002A01FF">
      <w:pPr>
        <w:rPr>
          <w:rFonts w:ascii="Times New Roman" w:eastAsia="Times New Roman" w:hAnsi="Times New Roman" w:cs="Times New Roman"/>
          <w:sz w:val="24"/>
          <w:szCs w:val="24"/>
        </w:rPr>
      </w:pPr>
    </w:p>
    <w:p w:rsidR="002A01FF" w:rsidRDefault="002A01FF">
      <w:pPr>
        <w:rPr>
          <w:rFonts w:ascii="Times New Roman" w:eastAsia="Times New Roman" w:hAnsi="Times New Roman" w:cs="Times New Roman"/>
          <w:sz w:val="24"/>
          <w:szCs w:val="24"/>
        </w:rPr>
      </w:pPr>
    </w:p>
    <w:p w:rsidR="002A01FF" w:rsidRDefault="002A01FF">
      <w:pPr>
        <w:rPr>
          <w:rFonts w:ascii="Times New Roman" w:eastAsia="Times New Roman" w:hAnsi="Times New Roman" w:cs="Times New Roman"/>
          <w:sz w:val="24"/>
          <w:szCs w:val="24"/>
        </w:rPr>
      </w:pPr>
    </w:p>
    <w:p w:rsidR="00F5418A" w:rsidRDefault="00F5418A">
      <w:pPr>
        <w:rPr>
          <w:rFonts w:ascii="Times New Roman" w:eastAsia="Times New Roman" w:hAnsi="Times New Roman" w:cs="Times New Roman"/>
          <w:sz w:val="24"/>
          <w:szCs w:val="24"/>
        </w:rPr>
      </w:pPr>
    </w:p>
    <w:p w:rsidR="00F5418A" w:rsidRDefault="00846432">
      <w:pPr>
        <w:spacing w:before="240" w:after="0" w:line="480" w:lineRule="auto"/>
        <w:jc w:val="center"/>
        <w:rPr>
          <w:rFonts w:ascii="Times New Roman" w:eastAsia="Times New Roman" w:hAnsi="Times New Roman" w:cs="Times New Roman"/>
          <w:b/>
          <w:bCs/>
          <w:sz w:val="24"/>
          <w:szCs w:val="24"/>
        </w:rPr>
      </w:pPr>
      <w:r>
        <w:rPr>
          <w:rFonts w:ascii="Times New Roman" w:hAnsi="Times New Roman"/>
          <w:b/>
          <w:sz w:val="24"/>
          <w:szCs w:val="24"/>
        </w:rPr>
        <w:lastRenderedPageBreak/>
        <w:t>Chapter 2</w:t>
      </w:r>
    </w:p>
    <w:p w:rsidR="00F5418A" w:rsidRDefault="00846432">
      <w:pPr>
        <w:spacing w:before="240" w:after="0" w:line="480" w:lineRule="auto"/>
        <w:jc w:val="center"/>
        <w:rPr>
          <w:rFonts w:ascii="Times New Roman" w:eastAsia="Times New Roman" w:hAnsi="Times New Roman" w:cs="Times New Roman"/>
          <w:b/>
          <w:bCs/>
          <w:sz w:val="24"/>
          <w:szCs w:val="24"/>
        </w:rPr>
      </w:pPr>
      <w:r>
        <w:rPr>
          <w:rFonts w:ascii="Times New Roman" w:hAnsi="Times New Roman"/>
          <w:b/>
          <w:sz w:val="24"/>
          <w:szCs w:val="24"/>
        </w:rPr>
        <w:t>REVIEW OF RELATED LITERATURE AND STUDIES</w:t>
      </w:r>
    </w:p>
    <w:p w:rsidR="00E24956" w:rsidRDefault="00BD7D69" w:rsidP="00BD7D69">
      <w:pPr>
        <w:spacing w:before="240" w:after="0" w:line="480" w:lineRule="auto"/>
        <w:ind w:firstLine="720"/>
        <w:jc w:val="both"/>
        <w:rPr>
          <w:rFonts w:ascii="Times New Roman" w:hAnsi="Times New Roman" w:cs="Times New Roman"/>
          <w:sz w:val="24"/>
          <w:szCs w:val="24"/>
        </w:rPr>
      </w:pPr>
      <w:r w:rsidRPr="00BD7D69">
        <w:rPr>
          <w:rFonts w:ascii="Times New Roman" w:hAnsi="Times New Roman" w:cs="Times New Roman"/>
          <w:sz w:val="24"/>
          <w:szCs w:val="24"/>
        </w:rPr>
        <w:t>This chapter presents the related literature and studies from both local and foreign sources. Those were included in this chapter helps in familiarizing information that are relevant a</w:t>
      </w:r>
      <w:r>
        <w:rPr>
          <w:rFonts w:ascii="Times New Roman" w:hAnsi="Times New Roman" w:cs="Times New Roman"/>
          <w:sz w:val="24"/>
          <w:szCs w:val="24"/>
        </w:rPr>
        <w:t>nd similar to the present study</w:t>
      </w:r>
      <w:r w:rsidR="00846432">
        <w:rPr>
          <w:rFonts w:ascii="Times New Roman" w:hAnsi="Times New Roman" w:cs="Times New Roman"/>
          <w:sz w:val="24"/>
          <w:szCs w:val="24"/>
        </w:rPr>
        <w:t>.</w:t>
      </w:r>
    </w:p>
    <w:p w:rsidR="00BD7D69" w:rsidRPr="00BD7D69" w:rsidRDefault="00BD7D69" w:rsidP="00BD7D69">
      <w:pPr>
        <w:spacing w:before="240" w:after="0" w:line="480" w:lineRule="auto"/>
        <w:ind w:firstLine="720"/>
        <w:jc w:val="both"/>
        <w:rPr>
          <w:rFonts w:ascii="Times New Roman" w:hAnsi="Times New Roman" w:cs="Times New Roman"/>
          <w:sz w:val="24"/>
          <w:szCs w:val="24"/>
        </w:rPr>
      </w:pPr>
    </w:p>
    <w:p w:rsidR="00F5418A" w:rsidRDefault="00846432">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Centralized Learning Portal with Material Distribution and Task Submission</w:t>
      </w:r>
    </w:p>
    <w:p w:rsidR="00F5418A" w:rsidRDefault="00846432">
      <w:pPr>
        <w:spacing w:before="240" w:after="0" w:line="480"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t>The centralized learning portal is a foundational component of modern learning management systems (LMS), providing a structured environment for organizing and delivering course resources. Dahal and Manandhar (2024) described an LMS as a digital platform for developing, delivering, and managing courses, learning resources, learning activities, and assessments, and noted that LMS adoption can improve content deliverability, accessibility, and retrievability. They also emphasized that treating an LMS solely as a storage system can limit its capacity to support meaningful learning, which highlights the importance of designing portals that support both resource management and active learning workflows.</w:t>
      </w:r>
    </w:p>
    <w:p w:rsidR="00F5418A" w:rsidRDefault="00846432">
      <w:pPr>
        <w:spacing w:before="240" w:after="0" w:line="480"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t xml:space="preserve">In the Philippine context, the challenge of uneven access to learning materials and inadequate infrastructure has long impeded effective teaching in public schools. Bustillo and Aguilos (2022) documented persistent barriers to educational technology adoption, noting that teachers are often compelled to distribute printed modules manually—an </w:t>
      </w:r>
      <w:r>
        <w:rPr>
          <w:rFonts w:ascii="Times New Roman" w:hAnsi="Times New Roman" w:cs="Times New Roman"/>
          <w:sz w:val="24"/>
          <w:szCs w:val="24"/>
        </w:rPr>
        <w:lastRenderedPageBreak/>
        <w:t>approach that is both inefficient and prone to inconsistencies due to limited reproduction resources and geographical accessibility constraints. Their study highlights that digital platforms capable of centralizing and streamlining module distribution offer a practical and scalable solution to the longstanding inequities in educational resource access across Philippine public schools, making a compelling case for LMS-integrated digital libraries as an institutional priority.</w:t>
      </w:r>
    </w:p>
    <w:p w:rsidR="00F5418A" w:rsidRDefault="00846432">
      <w:pPr>
        <w:spacing w:before="240" w:after="0" w:line="480"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t>Web-based module management systems address access and distribution constraints by enabling instructors to upload, categorize, and update learning materials electronically, while students retrieve resources through a standardized platform. Dahal and Manandhar (2024) highlighted that resources and learning management and content management are key success factors for LMS implementation, while also identifying assessment and learning engagement as areas that can fail when platforms are used only as passive storage. Accordingly, the centralized learning portal in A.I.M.S. should be designed not only for material distribution but also to support task submission and teacher-managed assessment workflows in a manner that remains practical for real-world classroom implementation.</w:t>
      </w:r>
    </w:p>
    <w:p w:rsidR="00F5418A" w:rsidRDefault="00F5418A">
      <w:pPr>
        <w:spacing w:after="0" w:line="480" w:lineRule="auto"/>
        <w:rPr>
          <w:rFonts w:ascii="Times New Roman" w:eastAsia="Times New Roman" w:hAnsi="Times New Roman" w:cs="Times New Roman"/>
          <w:sz w:val="24"/>
          <w:szCs w:val="24"/>
        </w:rPr>
      </w:pPr>
    </w:p>
    <w:p w:rsidR="00F5418A" w:rsidRDefault="00846432">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AI-Powered Quiz Generator with Instructor Validation and Approval Controls</w:t>
      </w:r>
    </w:p>
    <w:p w:rsidR="00F5418A" w:rsidRDefault="00846432">
      <w:pPr>
        <w:spacing w:before="240" w:after="0" w:line="480"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t xml:space="preserve">Artificial intelligence has fundamentally transformed how educational assessments are designed and administered, particularly through automated question generation. Bulathwela et al. (2023) conducted an extensive review of neural question generation </w:t>
      </w:r>
      <w:r>
        <w:rPr>
          <w:rFonts w:ascii="Times New Roman" w:hAnsi="Times New Roman" w:cs="Times New Roman"/>
          <w:sz w:val="24"/>
          <w:szCs w:val="24"/>
        </w:rPr>
        <w:lastRenderedPageBreak/>
        <w:t>(NQG) systems for educational purposes, evaluating rule-based and neural architectures across multiple studies. Their analysis demonstrated that transformer-based NQG models are capable of producing linguistically fluent and pedagogically appropriate questions from source texts, generating diverse item formats—including multiple-choice, true/false, and short-answer—with quality comparable to human-authored questions when guided by sufficient contextual parameters. This capability positions AI-powered generators as viable tools for reducing teacher workload in formative assessment design.</w:t>
      </w:r>
    </w:p>
    <w:p w:rsidR="00F5418A" w:rsidRDefault="00846432">
      <w:pPr>
        <w:spacing w:before="240" w:after="0" w:line="480"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t>Recent research has further validated the use of large language models (LLMs) in automated question generation for educational domains. Alamoudi et al. (2025) compared three methodological approaches—template-based structured ontology generation, LLM-based structured ontology generation, and LLM-based flat concept list generation—using BERT Precision, Recall, F1-score, and semantic similarity as performance metrics. Their findings indicate that the LLM-based flat concept list approach achieved the highest semantic similarity (0.567) and the most balanced precision-recall performance. Significantly, the authors noted that unstructured LLM generation occasionally produced hallucinated or topically unrelated questions, reinforcing the necessity of instructor validation controls in any AI-powered quiz generation system to ensure accuracy, curriculum alignment, and pedagogical relevance before deployment.</w:t>
      </w:r>
    </w:p>
    <w:p w:rsidR="00F5418A" w:rsidRDefault="00846432">
      <w:pPr>
        <w:spacing w:before="240" w:after="0" w:line="480"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t xml:space="preserve">In the Philippine educational landscape, the integration of learning management systems in public schools is often constrained by contextual and operational barriers. Balase and Paglinawan (2025) reported that teachers recognized the DepEd Learning </w:t>
      </w:r>
      <w:r>
        <w:rPr>
          <w:rFonts w:ascii="Times New Roman" w:hAnsi="Times New Roman" w:cs="Times New Roman"/>
          <w:sz w:val="24"/>
          <w:szCs w:val="24"/>
        </w:rPr>
        <w:lastRenderedPageBreak/>
        <w:t>Management System as beneficial for digital instruction and engagement, but also emphasized persistent barriers such as unstable connectivity, limited technical support, digital literacy gaps, and workload management concerns. These constraints underscore the importance of designing A.I.M.S. features to streamline teacher workflows and reduce additional administrative overhead, while maintaining instructor validation controls to preserve pedagogical integrity.</w:t>
      </w:r>
    </w:p>
    <w:p w:rsidR="00F5418A" w:rsidRDefault="00F5418A" w:rsidP="00682ADB">
      <w:pPr>
        <w:spacing w:after="0" w:line="480" w:lineRule="auto"/>
      </w:pPr>
    </w:p>
    <w:p w:rsidR="00F5418A" w:rsidRDefault="00846432" w:rsidP="00682ADB">
      <w:pPr>
        <w:spacing w:after="0" w:line="480" w:lineRule="auto"/>
      </w:pPr>
      <w:r>
        <w:rPr>
          <w:rFonts w:ascii="Times New Roman" w:hAnsi="Times New Roman"/>
          <w:b/>
          <w:sz w:val="24"/>
          <w:szCs w:val="24"/>
        </w:rPr>
        <w:t>Automated Assessment and Grading Engine Supporting Teacher Validation</w:t>
      </w:r>
    </w:p>
    <w:p w:rsidR="00F5418A" w:rsidRDefault="00846432" w:rsidP="00682ADB">
      <w:pPr>
        <w:spacing w:after="0" w:line="480" w:lineRule="auto"/>
        <w:ind w:firstLine="720"/>
        <w:jc w:val="both"/>
      </w:pPr>
      <w:r>
        <w:rPr>
          <w:rFonts w:ascii="Times New Roman" w:hAnsi="Times New Roman" w:cs="Times New Roman"/>
          <w:sz w:val="24"/>
          <w:szCs w:val="24"/>
        </w:rPr>
        <w:t>Automated grading systems have gained considerable traction in educational technology research as a response to the time demands and consistency limitations of manual evaluation. Ramesh and Sanampudi (2022) presented a systematic literature review of automated essay scoring (AES) systems, synthesizing research on machine learning and natural language processing approaches for grading written responses and outlining key challenges for reliable deployment in educational contexts. This body of work supports the inclusion of an automated assessment and grading engine in A.I.M.S., particularly when paired with teacher validation mechanisms and rubric-guided scoring to align automated outputs with instructor expectations.</w:t>
      </w:r>
    </w:p>
    <w:p w:rsidR="00F5418A" w:rsidRDefault="00846432" w:rsidP="00682ADB">
      <w:pPr>
        <w:spacing w:after="0" w:line="480" w:lineRule="auto"/>
        <w:ind w:firstLine="720"/>
        <w:jc w:val="both"/>
      </w:pPr>
      <w:r>
        <w:rPr>
          <w:rFonts w:ascii="Times New Roman" w:hAnsi="Times New Roman" w:cs="Times New Roman"/>
          <w:sz w:val="24"/>
          <w:szCs w:val="24"/>
        </w:rPr>
        <w:t xml:space="preserve">Beyond holistic scoring, the incorporation of customizable rubrics into automated grading systems is critical for aligning AI-generated scores with instructor-defined pedagogical standards. García-Varela et al. (2025) investigated the reliability and fairness of ChatGPT as an automated essay scoring tool, demonstrating that when provided with explicit, normalized rubrics and standardized output formats at low temperature settings, </w:t>
      </w:r>
      <w:r>
        <w:rPr>
          <w:rFonts w:ascii="Times New Roman" w:hAnsi="Times New Roman" w:cs="Times New Roman"/>
          <w:sz w:val="24"/>
          <w:szCs w:val="24"/>
        </w:rPr>
        <w:lastRenderedPageBreak/>
        <w:t>the model achieved perfect grading consistency across ten independent evaluation sessions. Their study also developed a scalable algorithm that automatically generates normalized grading rubrics and decision tables from any open-ended question with minimal instructor input. These findings confirm that the combination of AI grading capability with customizable rubric structures yields consistent, transparent, and educationally sound assessment outcomes.</w:t>
      </w:r>
    </w:p>
    <w:p w:rsidR="00F5418A" w:rsidRDefault="00846432" w:rsidP="00682ADB">
      <w:pPr>
        <w:spacing w:after="0" w:line="480" w:lineRule="auto"/>
        <w:ind w:firstLine="720"/>
        <w:jc w:val="both"/>
      </w:pPr>
      <w:r>
        <w:rPr>
          <w:rFonts w:ascii="Times New Roman" w:hAnsi="Times New Roman" w:cs="Times New Roman"/>
          <w:sz w:val="24"/>
          <w:szCs w:val="24"/>
        </w:rPr>
        <w:t>In Philippine educational settings, persistent infrastructural and capacity constraints continue to shape how digital tools are adopted and sustained. Colegado (2025), in a scoping review of digital innovations across Philippine K-12 science education, reported that teachers relied heavily on accessible platforms and that learning management systems such as Google Classroom and Quipper were used to provide structure for content delivery and assessment. However, the review emphasized ongoing challenges including poor connectivity, unequal device access, and limited teacher preparation, particularly in rural and underserved contexts. These findings highlight the need for A.I.M.S. to support structured assessment workflows and teacher-defined scoring criteria within realistic implementation constraints in Philippine public schools.</w:t>
      </w:r>
    </w:p>
    <w:p w:rsidR="00F5418A" w:rsidRDefault="00F5418A" w:rsidP="00682ADB">
      <w:pPr>
        <w:spacing w:after="0" w:line="480" w:lineRule="auto"/>
      </w:pPr>
    </w:p>
    <w:p w:rsidR="00570319" w:rsidRPr="00682ADB" w:rsidRDefault="00A161C0" w:rsidP="00682ADB">
      <w:pPr>
        <w:spacing w:line="480" w:lineRule="auto"/>
        <w:rPr>
          <w:rFonts w:ascii="Times New Roman" w:hAnsi="Times New Roman" w:cs="Times New Roman"/>
          <w:sz w:val="24"/>
          <w:szCs w:val="24"/>
        </w:rPr>
      </w:pPr>
      <w:r w:rsidRPr="00682ADB">
        <w:rPr>
          <w:rFonts w:ascii="Times New Roman" w:hAnsi="Times New Roman" w:cs="Times New Roman"/>
          <w:b/>
          <w:sz w:val="24"/>
          <w:szCs w:val="24"/>
        </w:rPr>
        <w:t>Dynamic Remedial Quiz Generator for Targeted Student Intervention</w:t>
      </w:r>
    </w:p>
    <w:p w:rsidR="00570319" w:rsidRDefault="00A161C0" w:rsidP="00682ADB">
      <w:pPr>
        <w:spacing w:line="480" w:lineRule="auto"/>
        <w:ind w:firstLine="720"/>
        <w:jc w:val="both"/>
        <w:rPr>
          <w:rFonts w:ascii="Times New Roman" w:hAnsi="Times New Roman" w:cs="Times New Roman"/>
          <w:sz w:val="24"/>
          <w:szCs w:val="24"/>
        </w:rPr>
      </w:pPr>
      <w:r w:rsidRPr="00682ADB">
        <w:rPr>
          <w:rFonts w:ascii="Times New Roman" w:hAnsi="Times New Roman" w:cs="Times New Roman"/>
          <w:sz w:val="24"/>
          <w:szCs w:val="24"/>
        </w:rPr>
        <w:t xml:space="preserve">Dynamic remediation is a core element of mastery-oriented instruction, which requires systematic corrective feedback mechanisms and structured opportunities for retesting when learners do not meet performance thresholds (Persky &amp; Hughes, 2022). In the context of A.I.M.S., the proposed dynamic remedial quiz generator applies this </w:t>
      </w:r>
      <w:r w:rsidRPr="00682ADB">
        <w:rPr>
          <w:rFonts w:ascii="Times New Roman" w:hAnsi="Times New Roman" w:cs="Times New Roman"/>
          <w:sz w:val="24"/>
          <w:szCs w:val="24"/>
        </w:rPr>
        <w:lastRenderedPageBreak/>
        <w:t>principle by using identified learning gaps to support the drafting of targeted remedial assessment items for teacher-reviewed intervention and re-assessment. Local evidence further affirms that structured remediation interventions can yield measurable learning gains in Philippine public school contexts (Jumao-as et al., 2025).</w:t>
      </w:r>
    </w:p>
    <w:p w:rsidR="00682ADB" w:rsidRPr="00682ADB" w:rsidRDefault="00682ADB" w:rsidP="00682ADB">
      <w:pPr>
        <w:spacing w:line="480" w:lineRule="auto"/>
        <w:ind w:firstLine="720"/>
        <w:rPr>
          <w:rFonts w:ascii="Times New Roman" w:hAnsi="Times New Roman" w:cs="Times New Roman"/>
          <w:sz w:val="24"/>
          <w:szCs w:val="24"/>
        </w:rPr>
      </w:pPr>
    </w:p>
    <w:p w:rsidR="00F5418A" w:rsidRDefault="00846432" w:rsidP="00682ADB">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Mastery-Based Learning Module with Configurable Progression Locks</w:t>
      </w:r>
    </w:p>
    <w:p w:rsidR="00F5418A" w:rsidRDefault="00846432" w:rsidP="00682ADB">
      <w:pPr>
        <w:spacing w:before="240" w:after="0" w:line="480"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t>Mastery-based learning is a pedagogical model grounded in the principle that all students can achieve academic proficiency when given sufficient time, appropriate instructional support, and the opportunity to demonstrate competency before progressing to subsequent content. Persky and Hughes (2022) conducted a comprehensive review of mastery learning principles and their practical application in varied educational contexts, finding that mastery-based instruction consistently outperformed traditional time-based delivery models in promoting long-term content retention, reducing achievement gaps, and improving student confidence. Their review emphasized that effective mastery learning frameworks require clearly defined performance thresholds, systematic corrective feedback mechanisms, and structured opportunities for retesting. These principles provide the pedagogical basis for the proposed mastery-based learning module in A.I.M.S., where progression controls are used as a system design mechanism to enforce competency-based sequencing.</w:t>
      </w:r>
    </w:p>
    <w:p w:rsidR="00F5418A" w:rsidRDefault="00846432">
      <w:pPr>
        <w:spacing w:before="240" w:after="0" w:line="480"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t xml:space="preserve">In the Philippine educational context, the sustained implementation of digital learning platforms is influenced by practical constraints that limit teachers' capacity to </w:t>
      </w:r>
      <w:r>
        <w:rPr>
          <w:rFonts w:ascii="Times New Roman" w:hAnsi="Times New Roman" w:cs="Times New Roman"/>
          <w:sz w:val="24"/>
          <w:szCs w:val="24"/>
        </w:rPr>
        <w:lastRenderedPageBreak/>
        <w:t>manage additional system processes. Balase and Paglinawan (2025) highlighted barriers to effective LMS integration in public schools, including unstable connectivity, limited technical support, digital literacy gaps, and workload management concerns. Accordingly, the mastery-based learning module in A.I.M.S. should be designed to support competency-based progression in a way that minimizes added teacher workload while maintaining clear performance thresholds and instructor oversight.</w:t>
      </w:r>
    </w:p>
    <w:p w:rsidR="00F5418A" w:rsidRDefault="00846432">
      <w:pPr>
        <w:spacing w:before="240" w:after="0" w:line="480"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t>Empirical evidence from the Philippine basic education context further affirms the value of structured remediation in supporting learner progression. Jumao-as et al. (2025) investigated the effectiveness of a reading remediation program implemented in a DepEd elementary school in Ozamiz City, Misamis Occidental, finding that Grade 4 pupils identified as having frustrated reading levels through the Philippine Informal Reading Inventory (PHIL-IRI) advanced to the instructional reading level following the systematic remediation program. The study demonstrated a statistically significant improvement in reading comprehension, validating that targeted, competency-specific intervention embedded within a structured instructional cycle produces measurable learning gains. These findings support the rationale for linking learner progression in A.I.M.S. to demonstrated mastery and structured remediation, even though the platform's specific lock and override controls remain part of the system's implementation design.</w:t>
      </w:r>
    </w:p>
    <w:p w:rsidR="00F5418A" w:rsidRDefault="00F5418A">
      <w:pPr>
        <w:spacing w:after="0" w:line="480" w:lineRule="auto"/>
        <w:rPr>
          <w:rFonts w:ascii="Times New Roman" w:eastAsia="Times New Roman" w:hAnsi="Times New Roman" w:cs="Times New Roman"/>
          <w:sz w:val="24"/>
          <w:szCs w:val="24"/>
        </w:rPr>
      </w:pPr>
    </w:p>
    <w:p w:rsidR="00F5418A" w:rsidRDefault="00846432">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Synthesis of the Reviewed Literature</w:t>
      </w:r>
    </w:p>
    <w:p w:rsidR="00F5418A" w:rsidRDefault="00846432">
      <w:pPr>
        <w:spacing w:before="240" w:after="0" w:line="480"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lastRenderedPageBreak/>
        <w:t>The reviewed literature collectively demonstrates that each of the five core features of A.I.M.S. is grounded in a robust and growing body of empirical evidence. Centralized learning portal with material distribution and task submission supports structured access to learning materials and course activities in public school environments (Dahal &amp; Manandhar, 2024; Bustillo &amp; Aguilos, 2022), while AI-Powered Quiz Generator with instructor validation and approval controls reduces the cognitive and administrative burden of assessment creation through validated neural and LLM-based generation methods (Bulathwela et al., 2023; Alamoudi et al., 2025). Automated assessment and grading engine supporting teacher validation promotes evaluation consistency and scalability through machine learning and rubric-guided assessment (Ramesh &amp; Sanampudi, 2022; García-Varela et al., 2025). Dynamic remedial quiz generator for targeted student intervention is supported by literature on corrective feedback, targeted remediation, and structured intervention cycles aligned with identified learning gaps (Persky &amp; Hughes, 2022; Jumao-as et al., 2025). Finally, Mastery-based learning module with configurable progression locks is pedagogically grounded in mastery learning literature that emphasizes criterion-referenced progression, corrective feedback, and remediation before advancement (Persky &amp; Hughes, 2022; Jumao-as et al., 2025).</w:t>
      </w:r>
    </w:p>
    <w:p w:rsidR="00F5418A" w:rsidRDefault="00846432">
      <w:pPr>
        <w:spacing w:before="240" w:after="0" w:line="480"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t xml:space="preserve">A consistent theme across both foreign and local literature is that the effectiveness of educational technology solutions depends not only on technical capability but also on contextual fit with teacher workflows and implementation constraints. Local evidence highlights persistent barriers such as unstable connectivity, limited technical support, digital literacy gaps, and workload management concerns that shape platform adoption in </w:t>
      </w:r>
      <w:r>
        <w:rPr>
          <w:rFonts w:ascii="Times New Roman" w:hAnsi="Times New Roman" w:cs="Times New Roman"/>
          <w:sz w:val="24"/>
          <w:szCs w:val="24"/>
        </w:rPr>
        <w:lastRenderedPageBreak/>
        <w:t>Philippine public schools (Balase &amp; Paglinawan, 2025; Colegado, 2025). Across the reviewed studies, core functionalities such as centralized content distribution, AI-assisted assessment creation, automated grading, targeted remediation, and mastery-based progression are commonly investigated as distinct solutions. This indicates a continuing research and design opportunity to integrate the complete instructional and assessment cycle within a single, teacher-centered platform, as envisioned in A.I.M.S.</w:t>
      </w:r>
    </w:p>
    <w:p w:rsidR="00F5418A" w:rsidRDefault="00846432">
      <w:pPr>
        <w:spacing w:before="240" w:after="0" w:line="480"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t xml:space="preserve">Overall, the literature reviewed in this chapter provides strong theoretical, empirical, and contextual justification for the design and development of A.I.M.S. as a unified, AI-driven educational platform tailored to the Philippine public school context. The evidence base confirms that the </w:t>
      </w:r>
      <w:bookmarkStart w:id="2" w:name="_GoBack"/>
      <w:bookmarkEnd w:id="2"/>
      <w:r>
        <w:rPr>
          <w:rFonts w:ascii="Times New Roman" w:hAnsi="Times New Roman" w:cs="Times New Roman"/>
          <w:sz w:val="24"/>
          <w:szCs w:val="24"/>
        </w:rPr>
        <w:t>proposed features are not merely technically feasible but also pedagogically sound, contextually responsive, and aligned with contemporary best practices in educational technology research. By operationalizing verified AI capabilities within a coherent, teacher-centered system architecture, A.I.M.S. represents a research-supported response to documented gaps in Philippine digital learning environments, integrating access management, automated assessment, targeted remediation, and mastery-based progression into a single, scalable educational system.</w:t>
      </w:r>
    </w:p>
    <w:p w:rsidR="00F5418A" w:rsidRPr="00EE70AC" w:rsidRDefault="00846432">
      <w:pPr>
        <w:spacing w:before="240" w:after="0" w:line="480" w:lineRule="auto"/>
        <w:jc w:val="both"/>
        <w:rPr>
          <w:rFonts w:ascii="Times New Roman" w:eastAsia="Times New Roman" w:hAnsi="Times New Roman" w:cs="Times New Roman"/>
          <w:bCs/>
          <w:sz w:val="24"/>
          <w:szCs w:val="24"/>
        </w:rPr>
      </w:pPr>
      <w:r w:rsidRPr="00EE70AC">
        <w:rPr>
          <w:rFonts w:ascii="Times New Roman" w:eastAsia="Times New Roman" w:hAnsi="Times New Roman" w:cs="Times New Roman"/>
          <w:bCs/>
          <w:sz w:val="24"/>
          <w:szCs w:val="24"/>
        </w:rPr>
        <w:t>Table 1</w:t>
      </w:r>
      <w:r w:rsidR="00EE70AC">
        <w:rPr>
          <w:rFonts w:ascii="Times New Roman" w:eastAsia="Times New Roman" w:hAnsi="Times New Roman" w:cs="Times New Roman"/>
          <w:bCs/>
          <w:sz w:val="24"/>
          <w:szCs w:val="24"/>
        </w:rPr>
        <w:t>.</w:t>
      </w:r>
    </w:p>
    <w:p w:rsidR="00F5418A" w:rsidRPr="00E24956" w:rsidRDefault="00846432">
      <w:pPr>
        <w:spacing w:before="240" w:after="0" w:line="480" w:lineRule="auto"/>
        <w:jc w:val="both"/>
        <w:rPr>
          <w:rFonts w:ascii="Times New Roman" w:eastAsia="Times New Roman" w:hAnsi="Times New Roman" w:cs="Times New Roman"/>
          <w:bCs/>
          <w:i/>
          <w:sz w:val="24"/>
          <w:szCs w:val="24"/>
        </w:rPr>
      </w:pPr>
      <w:r w:rsidRPr="00E24956">
        <w:rPr>
          <w:rFonts w:ascii="Times New Roman" w:eastAsia="Times New Roman" w:hAnsi="Times New Roman" w:cs="Times New Roman"/>
          <w:bCs/>
          <w:i/>
          <w:sz w:val="24"/>
          <w:szCs w:val="24"/>
        </w:rPr>
        <w:t>Matrix of Related Literature and Studies</w:t>
      </w:r>
    </w:p>
    <w:tbl>
      <w:tblPr>
        <w:tblStyle w:val="TableNormal0"/>
        <w:tblW w:w="8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2" w:type="dxa"/>
          <w:left w:w="108" w:type="dxa"/>
          <w:bottom w:w="0" w:type="dxa"/>
          <w:right w:w="0" w:type="dxa"/>
        </w:tblCellMar>
        <w:tblLook w:val="04A0" w:firstRow="1" w:lastRow="0" w:firstColumn="1" w:lastColumn="0" w:noHBand="0" w:noVBand="1"/>
      </w:tblPr>
      <w:tblGrid>
        <w:gridCol w:w="5048"/>
        <w:gridCol w:w="720"/>
        <w:gridCol w:w="717"/>
        <w:gridCol w:w="718"/>
        <w:gridCol w:w="718"/>
        <w:gridCol w:w="716"/>
      </w:tblGrid>
      <w:tr w:rsidR="00F5418A" w:rsidRPr="00EE70AC" w:rsidTr="00D958C7">
        <w:trPr>
          <w:trHeight w:val="288"/>
        </w:trPr>
        <w:tc>
          <w:tcPr>
            <w:tcW w:w="5048"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rPr>
                <w:sz w:val="24"/>
                <w:szCs w:val="24"/>
              </w:rPr>
            </w:pPr>
            <w:r w:rsidRPr="00EE70AC">
              <w:rPr>
                <w:rFonts w:ascii="Times New Roman" w:eastAsia="Times New Roman" w:hAnsi="Times New Roman" w:cs="Times New Roman"/>
                <w:b/>
                <w:sz w:val="24"/>
                <w:szCs w:val="24"/>
              </w:rPr>
              <w:t>RRL</w:t>
            </w:r>
          </w:p>
        </w:tc>
        <w:tc>
          <w:tcPr>
            <w:tcW w:w="3589" w:type="dxa"/>
            <w:gridSpan w:val="5"/>
            <w:tcBorders>
              <w:top w:val="single" w:sz="4" w:space="0" w:color="000000"/>
              <w:left w:val="single" w:sz="4" w:space="0" w:color="000000"/>
              <w:bottom w:val="single" w:sz="4" w:space="0" w:color="000000"/>
              <w:right w:val="single" w:sz="4" w:space="0" w:color="000000"/>
            </w:tcBorders>
            <w:vAlign w:val="center"/>
          </w:tcPr>
          <w:p w:rsidR="00570319" w:rsidRDefault="00A161C0">
            <w:r>
              <w:t>Features</w:t>
            </w:r>
          </w:p>
        </w:tc>
      </w:tr>
      <w:tr w:rsidR="00F5418A" w:rsidRPr="00EE70AC">
        <w:trPr>
          <w:trHeight w:val="2890"/>
        </w:trPr>
        <w:tc>
          <w:tcPr>
            <w:tcW w:w="5048"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rPr>
                <w:sz w:val="24"/>
                <w:szCs w:val="24"/>
              </w:rPr>
            </w:pPr>
            <w:r w:rsidRPr="00EE70AC">
              <w:rPr>
                <w:rFonts w:ascii="Times New Roman" w:eastAsia="Times New Roman" w:hAnsi="Times New Roman" w:cs="Times New Roman"/>
                <w:sz w:val="24"/>
                <w:szCs w:val="24"/>
              </w:rPr>
              <w:lastRenderedPageBreak/>
              <w:t>Studies/System</w:t>
            </w:r>
          </w:p>
        </w:tc>
        <w:tc>
          <w:tcPr>
            <w:tcW w:w="720" w:type="dxa"/>
            <w:tcBorders>
              <w:top w:val="single" w:sz="4" w:space="0" w:color="000000"/>
              <w:left w:val="single" w:sz="4" w:space="0" w:color="000000"/>
              <w:bottom w:val="single" w:sz="4" w:space="0" w:color="000000"/>
              <w:right w:val="single" w:sz="4" w:space="0" w:color="000000"/>
            </w:tcBorders>
            <w:textDirection w:val="btLr"/>
            <w:vAlign w:val="center"/>
          </w:tcPr>
          <w:p w:rsidR="00570319" w:rsidRDefault="00A161C0">
            <w:r>
              <w:t>Centralized Learning Portal</w:t>
            </w:r>
          </w:p>
        </w:tc>
        <w:tc>
          <w:tcPr>
            <w:tcW w:w="717" w:type="dxa"/>
            <w:tcBorders>
              <w:top w:val="single" w:sz="4" w:space="0" w:color="000000"/>
              <w:left w:val="single" w:sz="4" w:space="0" w:color="000000"/>
              <w:bottom w:val="single" w:sz="4" w:space="0" w:color="000000"/>
              <w:right w:val="single" w:sz="4" w:space="0" w:color="000000"/>
            </w:tcBorders>
            <w:textDirection w:val="btLr"/>
            <w:vAlign w:val="center"/>
          </w:tcPr>
          <w:p w:rsidR="00570319" w:rsidRDefault="00A161C0">
            <w:r>
              <w:t>AI-Powered Quiz Generator</w:t>
            </w:r>
          </w:p>
        </w:tc>
        <w:tc>
          <w:tcPr>
            <w:tcW w:w="718" w:type="dxa"/>
            <w:tcBorders>
              <w:top w:val="single" w:sz="4" w:space="0" w:color="000000"/>
              <w:left w:val="single" w:sz="4" w:space="0" w:color="000000"/>
              <w:bottom w:val="single" w:sz="4" w:space="0" w:color="000000"/>
              <w:right w:val="single" w:sz="4" w:space="0" w:color="000000"/>
            </w:tcBorders>
            <w:textDirection w:val="btLr"/>
            <w:vAlign w:val="center"/>
          </w:tcPr>
          <w:p w:rsidR="00570319" w:rsidRDefault="00A161C0">
            <w:r>
              <w:t>Automated Grading Engine</w:t>
            </w:r>
          </w:p>
        </w:tc>
        <w:tc>
          <w:tcPr>
            <w:tcW w:w="718" w:type="dxa"/>
            <w:tcBorders>
              <w:top w:val="single" w:sz="4" w:space="0" w:color="000000"/>
              <w:left w:val="single" w:sz="4" w:space="0" w:color="000000"/>
              <w:bottom w:val="single" w:sz="4" w:space="0" w:color="000000"/>
              <w:right w:val="single" w:sz="4" w:space="0" w:color="000000"/>
            </w:tcBorders>
            <w:textDirection w:val="btLr"/>
            <w:vAlign w:val="center"/>
          </w:tcPr>
          <w:p w:rsidR="00570319" w:rsidRDefault="00A161C0">
            <w:r>
              <w:t>Dynamic Remedial Quizzes</w:t>
            </w:r>
          </w:p>
        </w:tc>
        <w:tc>
          <w:tcPr>
            <w:tcW w:w="716" w:type="dxa"/>
            <w:tcBorders>
              <w:top w:val="single" w:sz="4" w:space="0" w:color="000000"/>
              <w:left w:val="single" w:sz="4" w:space="0" w:color="000000"/>
              <w:bottom w:val="single" w:sz="4" w:space="0" w:color="000000"/>
              <w:right w:val="single" w:sz="4" w:space="0" w:color="000000"/>
            </w:tcBorders>
            <w:textDirection w:val="btLr"/>
            <w:vAlign w:val="center"/>
          </w:tcPr>
          <w:p w:rsidR="00570319" w:rsidRDefault="00A161C0">
            <w:r>
              <w:t>Mastery-Based Progression</w:t>
            </w:r>
          </w:p>
        </w:tc>
      </w:tr>
      <w:tr w:rsidR="00F5418A" w:rsidRPr="00EE70AC">
        <w:tc>
          <w:tcPr>
            <w:tcW w:w="5048"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rPr>
                <w:sz w:val="24"/>
                <w:szCs w:val="24"/>
              </w:rPr>
            </w:pPr>
            <w:r w:rsidRPr="00EE70AC">
              <w:rPr>
                <w:rFonts w:ascii="Times New Roman" w:eastAsia="Times New Roman" w:hAnsi="Times New Roman" w:cs="Times New Roman"/>
                <w:sz w:val="24"/>
                <w:szCs w:val="24"/>
              </w:rPr>
              <w:t>Optimizing Automated Question Generation for Educational Assessments – Alamoudi et al. (2025)</w:t>
            </w:r>
          </w:p>
        </w:tc>
        <w:tc>
          <w:tcPr>
            <w:tcW w:w="720"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7"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8"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8" w:type="dxa"/>
            <w:tcBorders>
              <w:top w:val="single" w:sz="4" w:space="0" w:color="000000"/>
              <w:left w:val="single" w:sz="4" w:space="0" w:color="000000"/>
              <w:bottom w:val="single" w:sz="4" w:space="0" w:color="000000"/>
              <w:right w:val="single" w:sz="4" w:space="0" w:color="000000"/>
            </w:tcBorders>
            <w:vAlign w:val="center"/>
          </w:tcPr>
          <w:p w:rsidR="00570319" w:rsidRDefault="00A161C0">
            <w:r>
              <w:t>✗</w:t>
            </w:r>
          </w:p>
        </w:tc>
        <w:tc>
          <w:tcPr>
            <w:tcW w:w="716" w:type="dxa"/>
            <w:tcBorders>
              <w:top w:val="single" w:sz="4" w:space="0" w:color="000000"/>
              <w:left w:val="single" w:sz="4" w:space="0" w:color="000000"/>
              <w:bottom w:val="single" w:sz="4" w:space="0" w:color="000000"/>
              <w:right w:val="single" w:sz="4" w:space="0" w:color="000000"/>
            </w:tcBorders>
            <w:vAlign w:val="center"/>
          </w:tcPr>
          <w:p w:rsidR="00570319" w:rsidRDefault="00A161C0">
            <w:r>
              <w:t>✗</w:t>
            </w:r>
          </w:p>
        </w:tc>
      </w:tr>
      <w:tr w:rsidR="00F5418A" w:rsidRPr="00EE70AC">
        <w:tc>
          <w:tcPr>
            <w:tcW w:w="5048"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rPr>
                <w:sz w:val="24"/>
                <w:szCs w:val="24"/>
              </w:rPr>
            </w:pPr>
            <w:r w:rsidRPr="00EE70AC">
              <w:rPr>
                <w:rFonts w:ascii="Times New Roman" w:eastAsia="Times New Roman" w:hAnsi="Times New Roman" w:cs="Times New Roman"/>
                <w:sz w:val="24"/>
                <w:szCs w:val="24"/>
              </w:rPr>
              <w:t>The reality of e-Learning: Success and failure of learning management system – Dahal &amp; Manandhar (2024)</w:t>
            </w:r>
          </w:p>
        </w:tc>
        <w:tc>
          <w:tcPr>
            <w:tcW w:w="720"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7"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8"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8" w:type="dxa"/>
            <w:tcBorders>
              <w:top w:val="single" w:sz="4" w:space="0" w:color="000000"/>
              <w:left w:val="single" w:sz="4" w:space="0" w:color="000000"/>
              <w:bottom w:val="single" w:sz="4" w:space="0" w:color="000000"/>
              <w:right w:val="single" w:sz="4" w:space="0" w:color="000000"/>
            </w:tcBorders>
            <w:vAlign w:val="center"/>
          </w:tcPr>
          <w:p w:rsidR="00570319" w:rsidRDefault="00A161C0">
            <w:r>
              <w:t>✗</w:t>
            </w:r>
          </w:p>
        </w:tc>
        <w:tc>
          <w:tcPr>
            <w:tcW w:w="716" w:type="dxa"/>
            <w:tcBorders>
              <w:top w:val="single" w:sz="4" w:space="0" w:color="000000"/>
              <w:left w:val="single" w:sz="4" w:space="0" w:color="000000"/>
              <w:bottom w:val="single" w:sz="4" w:space="0" w:color="000000"/>
              <w:right w:val="single" w:sz="4" w:space="0" w:color="000000"/>
            </w:tcBorders>
            <w:vAlign w:val="center"/>
          </w:tcPr>
          <w:p w:rsidR="00570319" w:rsidRDefault="00A161C0">
            <w:r>
              <w:t>✗</w:t>
            </w:r>
          </w:p>
        </w:tc>
      </w:tr>
      <w:tr w:rsidR="00F5418A" w:rsidRPr="00EE70AC">
        <w:tc>
          <w:tcPr>
            <w:tcW w:w="5048"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rPr>
                <w:sz w:val="24"/>
                <w:szCs w:val="24"/>
              </w:rPr>
            </w:pPr>
            <w:r w:rsidRPr="00EE70AC">
              <w:rPr>
                <w:rFonts w:ascii="Times New Roman" w:eastAsia="Times New Roman" w:hAnsi="Times New Roman" w:cs="Times New Roman"/>
                <w:sz w:val="24"/>
                <w:szCs w:val="24"/>
              </w:rPr>
              <w:t>Review on Neural Question Generation for Education Purposes – Bulathwela et al. (2023)</w:t>
            </w:r>
          </w:p>
        </w:tc>
        <w:tc>
          <w:tcPr>
            <w:tcW w:w="720"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7"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8"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8" w:type="dxa"/>
            <w:tcBorders>
              <w:top w:val="single" w:sz="4" w:space="0" w:color="000000"/>
              <w:left w:val="single" w:sz="4" w:space="0" w:color="000000"/>
              <w:bottom w:val="single" w:sz="4" w:space="0" w:color="000000"/>
              <w:right w:val="single" w:sz="4" w:space="0" w:color="000000"/>
            </w:tcBorders>
            <w:vAlign w:val="center"/>
          </w:tcPr>
          <w:p w:rsidR="00570319" w:rsidRDefault="00A161C0">
            <w:r>
              <w:t>✗</w:t>
            </w:r>
          </w:p>
        </w:tc>
        <w:tc>
          <w:tcPr>
            <w:tcW w:w="716" w:type="dxa"/>
            <w:tcBorders>
              <w:top w:val="single" w:sz="4" w:space="0" w:color="000000"/>
              <w:left w:val="single" w:sz="4" w:space="0" w:color="000000"/>
              <w:bottom w:val="single" w:sz="4" w:space="0" w:color="000000"/>
              <w:right w:val="single" w:sz="4" w:space="0" w:color="000000"/>
            </w:tcBorders>
            <w:vAlign w:val="center"/>
          </w:tcPr>
          <w:p w:rsidR="00570319" w:rsidRDefault="00A161C0">
            <w:r>
              <w:t>✗</w:t>
            </w:r>
          </w:p>
        </w:tc>
      </w:tr>
      <w:tr w:rsidR="00F5418A" w:rsidRPr="00EE70AC">
        <w:tc>
          <w:tcPr>
            <w:tcW w:w="5048"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rPr>
                <w:sz w:val="24"/>
                <w:szCs w:val="24"/>
              </w:rPr>
            </w:pPr>
            <w:r w:rsidRPr="00EE70AC">
              <w:rPr>
                <w:rFonts w:ascii="Times New Roman" w:eastAsia="Times New Roman" w:hAnsi="Times New Roman" w:cs="Times New Roman"/>
                <w:sz w:val="24"/>
                <w:szCs w:val="24"/>
              </w:rPr>
              <w:t>ChatGPT as a Stable and Fair Tool for Automated Essay Scoring – García-Varela et al. (2025)</w:t>
            </w:r>
          </w:p>
        </w:tc>
        <w:tc>
          <w:tcPr>
            <w:tcW w:w="720"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7"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8"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8" w:type="dxa"/>
            <w:tcBorders>
              <w:top w:val="single" w:sz="4" w:space="0" w:color="000000"/>
              <w:left w:val="single" w:sz="4" w:space="0" w:color="000000"/>
              <w:bottom w:val="single" w:sz="4" w:space="0" w:color="000000"/>
              <w:right w:val="single" w:sz="4" w:space="0" w:color="000000"/>
            </w:tcBorders>
            <w:vAlign w:val="center"/>
          </w:tcPr>
          <w:p w:rsidR="00570319" w:rsidRDefault="00A161C0">
            <w:r>
              <w:t>✗</w:t>
            </w:r>
          </w:p>
        </w:tc>
        <w:tc>
          <w:tcPr>
            <w:tcW w:w="716" w:type="dxa"/>
            <w:tcBorders>
              <w:top w:val="single" w:sz="4" w:space="0" w:color="000000"/>
              <w:left w:val="single" w:sz="4" w:space="0" w:color="000000"/>
              <w:bottom w:val="single" w:sz="4" w:space="0" w:color="000000"/>
              <w:right w:val="single" w:sz="4" w:space="0" w:color="000000"/>
            </w:tcBorders>
            <w:vAlign w:val="center"/>
          </w:tcPr>
          <w:p w:rsidR="00570319" w:rsidRDefault="00A161C0">
            <w:r>
              <w:t>✗</w:t>
            </w:r>
          </w:p>
        </w:tc>
      </w:tr>
      <w:tr w:rsidR="00F5418A" w:rsidRPr="00EE70AC">
        <w:tc>
          <w:tcPr>
            <w:tcW w:w="5048"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rPr>
                <w:sz w:val="24"/>
                <w:szCs w:val="24"/>
              </w:rPr>
            </w:pPr>
            <w:r w:rsidRPr="00EE70AC">
              <w:rPr>
                <w:rFonts w:ascii="Times New Roman" w:eastAsia="Times New Roman" w:hAnsi="Times New Roman" w:cs="Times New Roman"/>
                <w:sz w:val="24"/>
                <w:szCs w:val="24"/>
              </w:rPr>
              <w:t>A Practical Review of Mastery Learning – Persky &amp; Hughes (2022)</w:t>
            </w:r>
          </w:p>
        </w:tc>
        <w:tc>
          <w:tcPr>
            <w:tcW w:w="720"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7"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8"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8" w:type="dxa"/>
            <w:tcBorders>
              <w:top w:val="single" w:sz="4" w:space="0" w:color="000000"/>
              <w:left w:val="single" w:sz="4" w:space="0" w:color="000000"/>
              <w:bottom w:val="single" w:sz="4" w:space="0" w:color="000000"/>
              <w:right w:val="single" w:sz="4" w:space="0" w:color="000000"/>
            </w:tcBorders>
            <w:vAlign w:val="center"/>
          </w:tcPr>
          <w:p w:rsidR="00570319" w:rsidRDefault="00A161C0">
            <w:r>
              <w:t>✗</w:t>
            </w:r>
          </w:p>
        </w:tc>
        <w:tc>
          <w:tcPr>
            <w:tcW w:w="716" w:type="dxa"/>
            <w:tcBorders>
              <w:top w:val="single" w:sz="4" w:space="0" w:color="000000"/>
              <w:left w:val="single" w:sz="4" w:space="0" w:color="000000"/>
              <w:bottom w:val="single" w:sz="4" w:space="0" w:color="000000"/>
              <w:right w:val="single" w:sz="4" w:space="0" w:color="000000"/>
            </w:tcBorders>
            <w:vAlign w:val="center"/>
          </w:tcPr>
          <w:p w:rsidR="00570319" w:rsidRDefault="00A161C0">
            <w:r>
              <w:t>✗</w:t>
            </w:r>
          </w:p>
        </w:tc>
      </w:tr>
      <w:tr w:rsidR="00F5418A" w:rsidRPr="00EE70AC">
        <w:tc>
          <w:tcPr>
            <w:tcW w:w="5048"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rPr>
                <w:sz w:val="24"/>
                <w:szCs w:val="24"/>
              </w:rPr>
            </w:pPr>
            <w:r w:rsidRPr="00EE70AC">
              <w:rPr>
                <w:rFonts w:ascii="Times New Roman" w:eastAsia="Times New Roman" w:hAnsi="Times New Roman" w:cs="Times New Roman"/>
                <w:sz w:val="24"/>
                <w:szCs w:val="24"/>
              </w:rPr>
              <w:t>An Automated Essay Scoring Systems: A Systematic Literature Review – Ramesh &amp; Sanampudi (2022)</w:t>
            </w:r>
          </w:p>
        </w:tc>
        <w:tc>
          <w:tcPr>
            <w:tcW w:w="720"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7"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8"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8" w:type="dxa"/>
            <w:tcBorders>
              <w:top w:val="single" w:sz="4" w:space="0" w:color="000000"/>
              <w:left w:val="single" w:sz="4" w:space="0" w:color="000000"/>
              <w:bottom w:val="single" w:sz="4" w:space="0" w:color="000000"/>
              <w:right w:val="single" w:sz="4" w:space="0" w:color="000000"/>
            </w:tcBorders>
            <w:vAlign w:val="center"/>
          </w:tcPr>
          <w:p w:rsidR="00570319" w:rsidRDefault="00A161C0">
            <w:r>
              <w:t>✗</w:t>
            </w:r>
          </w:p>
        </w:tc>
        <w:tc>
          <w:tcPr>
            <w:tcW w:w="716" w:type="dxa"/>
            <w:tcBorders>
              <w:top w:val="single" w:sz="4" w:space="0" w:color="000000"/>
              <w:left w:val="single" w:sz="4" w:space="0" w:color="000000"/>
              <w:bottom w:val="single" w:sz="4" w:space="0" w:color="000000"/>
              <w:right w:val="single" w:sz="4" w:space="0" w:color="000000"/>
            </w:tcBorders>
            <w:vAlign w:val="center"/>
          </w:tcPr>
          <w:p w:rsidR="00570319" w:rsidRDefault="00A161C0">
            <w:r>
              <w:t>✗</w:t>
            </w:r>
          </w:p>
        </w:tc>
      </w:tr>
      <w:tr w:rsidR="00F5418A" w:rsidRPr="00EE70AC">
        <w:tc>
          <w:tcPr>
            <w:tcW w:w="5048"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rPr>
                <w:sz w:val="24"/>
                <w:szCs w:val="24"/>
              </w:rPr>
            </w:pPr>
            <w:r w:rsidRPr="00EE70AC">
              <w:rPr>
                <w:rFonts w:ascii="Times New Roman" w:eastAsia="Times New Roman" w:hAnsi="Times New Roman" w:cs="Times New Roman"/>
                <w:sz w:val="24"/>
                <w:szCs w:val="24"/>
              </w:rPr>
              <w:t>The Challenges of Modular Learning in the Wake of COVID-19: A Digital Divide in the Philippine Countryside Revealed – Bustillo &amp; Aguilos (2022)</w:t>
            </w:r>
          </w:p>
        </w:tc>
        <w:tc>
          <w:tcPr>
            <w:tcW w:w="720"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7"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8"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8" w:type="dxa"/>
            <w:tcBorders>
              <w:top w:val="single" w:sz="4" w:space="0" w:color="000000"/>
              <w:left w:val="single" w:sz="4" w:space="0" w:color="000000"/>
              <w:bottom w:val="single" w:sz="4" w:space="0" w:color="000000"/>
              <w:right w:val="single" w:sz="4" w:space="0" w:color="000000"/>
            </w:tcBorders>
            <w:vAlign w:val="center"/>
          </w:tcPr>
          <w:p w:rsidR="00570319" w:rsidRDefault="00A161C0">
            <w:r>
              <w:t>✗</w:t>
            </w:r>
          </w:p>
        </w:tc>
        <w:tc>
          <w:tcPr>
            <w:tcW w:w="716" w:type="dxa"/>
            <w:tcBorders>
              <w:top w:val="single" w:sz="4" w:space="0" w:color="000000"/>
              <w:left w:val="single" w:sz="4" w:space="0" w:color="000000"/>
              <w:bottom w:val="single" w:sz="4" w:space="0" w:color="000000"/>
              <w:right w:val="single" w:sz="4" w:space="0" w:color="000000"/>
            </w:tcBorders>
            <w:vAlign w:val="center"/>
          </w:tcPr>
          <w:p w:rsidR="00570319" w:rsidRDefault="00A161C0">
            <w:r>
              <w:t>✗</w:t>
            </w:r>
          </w:p>
        </w:tc>
      </w:tr>
      <w:tr w:rsidR="00F5418A" w:rsidRPr="00EE70AC">
        <w:tc>
          <w:tcPr>
            <w:tcW w:w="5048"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rPr>
                <w:sz w:val="24"/>
                <w:szCs w:val="24"/>
              </w:rPr>
            </w:pPr>
            <w:r w:rsidRPr="00EE70AC">
              <w:rPr>
                <w:rFonts w:ascii="Times New Roman" w:eastAsia="Times New Roman" w:hAnsi="Times New Roman" w:cs="Times New Roman"/>
                <w:sz w:val="24"/>
                <w:szCs w:val="24"/>
              </w:rPr>
              <w:t>Voices from the Field: Teachers' Narratives and Reflections on Integrating the DepEd LMS – Balase &amp; Paglinawan (2025)</w:t>
            </w:r>
          </w:p>
        </w:tc>
        <w:tc>
          <w:tcPr>
            <w:tcW w:w="720"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7"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8"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8" w:type="dxa"/>
            <w:tcBorders>
              <w:top w:val="single" w:sz="4" w:space="0" w:color="000000"/>
              <w:left w:val="single" w:sz="4" w:space="0" w:color="000000"/>
              <w:bottom w:val="single" w:sz="4" w:space="0" w:color="000000"/>
              <w:right w:val="single" w:sz="4" w:space="0" w:color="000000"/>
            </w:tcBorders>
            <w:vAlign w:val="center"/>
          </w:tcPr>
          <w:p w:rsidR="00570319" w:rsidRDefault="00A161C0">
            <w:r>
              <w:t>✗</w:t>
            </w:r>
          </w:p>
        </w:tc>
        <w:tc>
          <w:tcPr>
            <w:tcW w:w="716" w:type="dxa"/>
            <w:tcBorders>
              <w:top w:val="single" w:sz="4" w:space="0" w:color="000000"/>
              <w:left w:val="single" w:sz="4" w:space="0" w:color="000000"/>
              <w:bottom w:val="single" w:sz="4" w:space="0" w:color="000000"/>
              <w:right w:val="single" w:sz="4" w:space="0" w:color="000000"/>
            </w:tcBorders>
            <w:vAlign w:val="center"/>
          </w:tcPr>
          <w:p w:rsidR="00570319" w:rsidRDefault="00A161C0">
            <w:r>
              <w:t>✓</w:t>
            </w:r>
          </w:p>
        </w:tc>
      </w:tr>
      <w:tr w:rsidR="00F5418A" w:rsidRPr="00EE70AC">
        <w:tc>
          <w:tcPr>
            <w:tcW w:w="5048"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rPr>
                <w:sz w:val="24"/>
                <w:szCs w:val="24"/>
              </w:rPr>
            </w:pPr>
            <w:r w:rsidRPr="00EE70AC">
              <w:rPr>
                <w:rFonts w:ascii="Times New Roman" w:eastAsia="Times New Roman" w:hAnsi="Times New Roman" w:cs="Times New Roman"/>
                <w:sz w:val="24"/>
                <w:szCs w:val="24"/>
              </w:rPr>
              <w:t>Digital Innovations in Science Education in the Philippines: A Scoping Review – Colegado (2025)</w:t>
            </w:r>
          </w:p>
        </w:tc>
        <w:tc>
          <w:tcPr>
            <w:tcW w:w="720"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7"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8"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8" w:type="dxa"/>
            <w:tcBorders>
              <w:top w:val="single" w:sz="4" w:space="0" w:color="000000"/>
              <w:left w:val="single" w:sz="4" w:space="0" w:color="000000"/>
              <w:bottom w:val="single" w:sz="4" w:space="0" w:color="000000"/>
              <w:right w:val="single" w:sz="4" w:space="0" w:color="000000"/>
            </w:tcBorders>
            <w:vAlign w:val="center"/>
          </w:tcPr>
          <w:p w:rsidR="00570319" w:rsidRDefault="00A161C0">
            <w:r>
              <w:t>✗</w:t>
            </w:r>
          </w:p>
        </w:tc>
        <w:tc>
          <w:tcPr>
            <w:tcW w:w="716" w:type="dxa"/>
            <w:tcBorders>
              <w:top w:val="single" w:sz="4" w:space="0" w:color="000000"/>
              <w:left w:val="single" w:sz="4" w:space="0" w:color="000000"/>
              <w:bottom w:val="single" w:sz="4" w:space="0" w:color="000000"/>
              <w:right w:val="single" w:sz="4" w:space="0" w:color="000000"/>
            </w:tcBorders>
            <w:vAlign w:val="center"/>
          </w:tcPr>
          <w:p w:rsidR="00570319" w:rsidRDefault="00A161C0">
            <w:r>
              <w:t>✗</w:t>
            </w:r>
          </w:p>
        </w:tc>
      </w:tr>
      <w:tr w:rsidR="00F5418A" w:rsidRPr="00EE70AC">
        <w:tc>
          <w:tcPr>
            <w:tcW w:w="5048"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rPr>
                <w:sz w:val="24"/>
                <w:szCs w:val="24"/>
              </w:rPr>
            </w:pPr>
            <w:r w:rsidRPr="00EE70AC">
              <w:rPr>
                <w:rFonts w:ascii="Times New Roman" w:eastAsia="Times New Roman" w:hAnsi="Times New Roman" w:cs="Times New Roman"/>
                <w:sz w:val="24"/>
                <w:szCs w:val="24"/>
              </w:rPr>
              <w:t>Reading Remediation Program and Grade 4 Pupils' Reading Comprehension – Jumao-as et al. (2025)</w:t>
            </w:r>
          </w:p>
        </w:tc>
        <w:tc>
          <w:tcPr>
            <w:tcW w:w="720"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7"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8" w:type="dxa"/>
            <w:tcBorders>
              <w:top w:val="single" w:sz="4" w:space="0" w:color="000000"/>
              <w:left w:val="single" w:sz="4" w:space="0" w:color="000000"/>
              <w:bottom w:val="single" w:sz="4" w:space="0" w:color="000000"/>
              <w:right w:val="single" w:sz="4" w:space="0" w:color="000000"/>
            </w:tcBorders>
            <w:vAlign w:val="center"/>
          </w:tcPr>
          <w:p w:rsidR="00F5418A" w:rsidRPr="00EE70AC" w:rsidRDefault="00846432">
            <w:pPr>
              <w:spacing w:after="0"/>
              <w:jc w:val="center"/>
              <w:rPr>
                <w:sz w:val="24"/>
                <w:szCs w:val="24"/>
              </w:rPr>
            </w:pPr>
            <w:r w:rsidRPr="00EE70AC">
              <w:rPr>
                <w:rFonts w:ascii="Segoe UI Symbol" w:eastAsia="Segoe UI Symbol" w:hAnsi="Segoe UI Symbol" w:cs="Segoe UI Symbol"/>
                <w:sz w:val="24"/>
                <w:szCs w:val="24"/>
              </w:rPr>
              <w:t>✗</w:t>
            </w:r>
          </w:p>
        </w:tc>
        <w:tc>
          <w:tcPr>
            <w:tcW w:w="718" w:type="dxa"/>
            <w:tcBorders>
              <w:top w:val="single" w:sz="4" w:space="0" w:color="000000"/>
              <w:left w:val="single" w:sz="4" w:space="0" w:color="000000"/>
              <w:bottom w:val="single" w:sz="4" w:space="0" w:color="000000"/>
              <w:right w:val="single" w:sz="4" w:space="0" w:color="000000"/>
            </w:tcBorders>
            <w:vAlign w:val="center"/>
          </w:tcPr>
          <w:p w:rsidR="00570319" w:rsidRDefault="00A161C0">
            <w:r>
              <w:t>✓</w:t>
            </w:r>
          </w:p>
        </w:tc>
        <w:tc>
          <w:tcPr>
            <w:tcW w:w="716" w:type="dxa"/>
            <w:tcBorders>
              <w:top w:val="single" w:sz="4" w:space="0" w:color="000000"/>
              <w:left w:val="single" w:sz="4" w:space="0" w:color="000000"/>
              <w:bottom w:val="single" w:sz="4" w:space="0" w:color="000000"/>
              <w:right w:val="single" w:sz="4" w:space="0" w:color="000000"/>
            </w:tcBorders>
            <w:vAlign w:val="center"/>
          </w:tcPr>
          <w:p w:rsidR="00570319" w:rsidRDefault="00A161C0">
            <w:r>
              <w:t>✓</w:t>
            </w:r>
          </w:p>
        </w:tc>
      </w:tr>
    </w:tbl>
    <w:p w:rsidR="00F5418A" w:rsidRDefault="00F5418A">
      <w:pPr>
        <w:spacing w:after="0" w:line="480" w:lineRule="auto"/>
        <w:rPr>
          <w:rFonts w:ascii="Times New Roman" w:eastAsia="Times New Roman" w:hAnsi="Times New Roman" w:cs="Times New Roman"/>
          <w:sz w:val="24"/>
          <w:szCs w:val="24"/>
        </w:rPr>
      </w:pPr>
    </w:p>
    <w:p w:rsidR="00F5418A" w:rsidRDefault="00846432">
      <w:pPr>
        <w:spacing w:after="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Synthesis</w:t>
      </w:r>
    </w:p>
    <w:p w:rsidR="00F5418A" w:rsidRDefault="00846432">
      <w:pPr>
        <w:spacing w:before="240" w:after="0" w:line="480"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lastRenderedPageBreak/>
        <w:t>The matrix of related literature and studies above presents a comparative overview of existing systems and studies in relation to the five core technical features of the proposed A.I.M.S. platform. The studies mapped in the matrix span both foreign and local literature, covering Centralized learning portal with material distribution and task submission (Dahal &amp; Manandhar, 2024; Bustillo &amp; Aguilos, 2022), AI-Powered Quiz Generator with instructor validation and approval controls (Bulathwela et al., 2023; Alamoudi et al., 2025), Automated assessment and grading engine supporting teacher validation (Ramesh &amp; Sanampudi, 2022; García-Varela et al., 2025), Dynamic remedial quiz generator for targeted student intervention (Persky &amp; Hughes, 2022; Jumao-as et al., 2025), and Mastery-based learning module with configurable progression locks (Persky &amp; Hughes, 2022; Jumao-as et al., 2025).</w:t>
      </w:r>
    </w:p>
    <w:p w:rsidR="00F5418A" w:rsidRDefault="00846432">
      <w:pPr>
        <w:spacing w:before="240" w:after="0" w:line="480" w:lineRule="auto"/>
        <w:ind w:firstLine="720"/>
        <w:jc w:val="both"/>
        <w:rPr>
          <w:rFonts w:ascii="Times New Roman" w:eastAsia="Times New Roman" w:hAnsi="Times New Roman" w:cs="Times New Roman"/>
          <w:sz w:val="24"/>
          <w:szCs w:val="24"/>
        </w:rPr>
      </w:pPr>
      <w:r>
        <w:rPr>
          <w:rFonts w:ascii="Times New Roman" w:hAnsi="Times New Roman" w:cs="Times New Roman"/>
          <w:sz w:val="24"/>
          <w:szCs w:val="24"/>
        </w:rPr>
        <w:t>Overall, the synthesis reveals that while the individual features addressed by A.I.M.S. are present in existing systems and have been independently validated in the literature, no single platform currently integrates all five functionalities: Centralized learning portal with material distribution and task submission, AI-Powered Quiz Generator with instructor validation and approval controls, Automated assessment and grading engine supporting teacher validation, Dynamic remedial quiz generator for targeted student intervention, and Mastery-based learning module with configurable progression locks, into a unified, AI-driven educational environment. This integration gap constitutes the primary research contribution of A.I.M.S. and affirms the novelty and practical significance of the proposed system as a response to documented needs in the Philippine educational technology landscape.</w:t>
      </w:r>
    </w:p>
    <w:p w:rsidR="00F5418A" w:rsidRDefault="00F5418A">
      <w:pPr>
        <w:spacing w:after="0" w:line="480" w:lineRule="auto"/>
        <w:rPr>
          <w:rFonts w:ascii="Times New Roman" w:eastAsia="Times New Roman" w:hAnsi="Times New Roman" w:cs="Times New Roman"/>
          <w:sz w:val="24"/>
          <w:szCs w:val="24"/>
        </w:rPr>
      </w:pPr>
    </w:p>
    <w:p w:rsidR="00F5418A" w:rsidRDefault="00F5418A">
      <w:pPr>
        <w:spacing w:after="0" w:line="480" w:lineRule="auto"/>
        <w:rPr>
          <w:rFonts w:ascii="Times New Roman" w:eastAsia="Times New Roman" w:hAnsi="Times New Roman" w:cs="Times New Roman"/>
          <w:sz w:val="24"/>
          <w:szCs w:val="24"/>
        </w:rPr>
      </w:pPr>
    </w:p>
    <w:p w:rsidR="00F5418A" w:rsidRDefault="00F5418A">
      <w:pPr>
        <w:spacing w:after="0" w:line="480" w:lineRule="auto"/>
        <w:rPr>
          <w:rFonts w:ascii="Times New Roman" w:eastAsia="Times New Roman" w:hAnsi="Times New Roman" w:cs="Times New Roman"/>
          <w:sz w:val="24"/>
          <w:szCs w:val="24"/>
        </w:rPr>
      </w:pPr>
    </w:p>
    <w:p w:rsidR="00F5418A" w:rsidRDefault="00F5418A">
      <w:pPr>
        <w:spacing w:after="0" w:line="480" w:lineRule="auto"/>
        <w:rPr>
          <w:rFonts w:ascii="Times New Roman" w:eastAsia="Times New Roman" w:hAnsi="Times New Roman" w:cs="Times New Roman"/>
          <w:sz w:val="24"/>
          <w:szCs w:val="24"/>
        </w:rPr>
      </w:pPr>
    </w:p>
    <w:p w:rsidR="00F5418A" w:rsidRDefault="00F5418A">
      <w:pPr>
        <w:spacing w:after="0" w:line="480" w:lineRule="auto"/>
        <w:rPr>
          <w:rFonts w:ascii="Times New Roman" w:eastAsia="Times New Roman" w:hAnsi="Times New Roman" w:cs="Times New Roman"/>
          <w:sz w:val="24"/>
          <w:szCs w:val="24"/>
        </w:rPr>
      </w:pPr>
    </w:p>
    <w:p w:rsidR="00F5418A" w:rsidRDefault="00F5418A">
      <w:pPr>
        <w:spacing w:after="0" w:line="480" w:lineRule="auto"/>
        <w:rPr>
          <w:rFonts w:ascii="Times New Roman" w:eastAsia="Times New Roman" w:hAnsi="Times New Roman" w:cs="Times New Roman"/>
          <w:sz w:val="24"/>
          <w:szCs w:val="24"/>
        </w:rPr>
      </w:pPr>
    </w:p>
    <w:p w:rsidR="00645005" w:rsidRDefault="00431069">
      <w:pPr>
        <w:spacing w:after="0"/>
      </w:pPr>
      <w:r>
        <w:br w:type="page"/>
      </w:r>
    </w:p>
    <w:p w:rsidR="00645005" w:rsidRDefault="00431069">
      <w:pPr>
        <w:spacing w:after="0" w:line="480" w:lineRule="auto"/>
        <w:jc w:val="center"/>
      </w:pPr>
      <w:r>
        <w:rPr>
          <w:rFonts w:ascii="Times New Roman" w:hAnsi="Times New Roman"/>
          <w:b/>
          <w:sz w:val="24"/>
        </w:rPr>
        <w:lastRenderedPageBreak/>
        <w:t>REFERENCES</w:t>
      </w:r>
    </w:p>
    <w:p w:rsidR="00645005" w:rsidRDefault="00431069">
      <w:pPr>
        <w:spacing w:after="0" w:line="480" w:lineRule="auto"/>
        <w:ind w:left="720" w:hanging="720"/>
        <w:jc w:val="both"/>
      </w:pPr>
      <w:r>
        <w:rPr>
          <w:rFonts w:ascii="Times New Roman" w:hAnsi="Times New Roman"/>
          <w:sz w:val="24"/>
        </w:rPr>
        <w:t xml:space="preserve">Alamoudi, S., Al Khuzayem, L. A., &amp; Jamal, A. (2025). Optimizing automated question generation for educational assessments: A semantic analysis of LLMs with structured and unstructured ontologies. </w:t>
      </w:r>
      <w:r>
        <w:rPr>
          <w:rFonts w:ascii="Times New Roman" w:hAnsi="Times New Roman"/>
          <w:i/>
          <w:sz w:val="24"/>
        </w:rPr>
        <w:t>Engineering, Technology &amp; Applied Science Research, 15</w:t>
      </w:r>
      <w:r>
        <w:rPr>
          <w:rFonts w:ascii="Times New Roman" w:hAnsi="Times New Roman"/>
          <w:sz w:val="24"/>
        </w:rPr>
        <w:t xml:space="preserve">(3), 23664–23671. </w:t>
      </w:r>
      <w:hyperlink r:id="rId6" w:history="1">
        <w:r w:rsidR="00E24956" w:rsidRPr="005D1928">
          <w:rPr>
            <w:rStyle w:val="Hyperlink"/>
            <w:rFonts w:ascii="Times New Roman" w:hAnsi="Times New Roman"/>
            <w:sz w:val="24"/>
          </w:rPr>
          <w:t>https://doi.org/10.48084/etasr.10662</w:t>
        </w:r>
      </w:hyperlink>
      <w:r w:rsidR="00E24956">
        <w:rPr>
          <w:rFonts w:ascii="Times New Roman" w:hAnsi="Times New Roman"/>
          <w:sz w:val="24"/>
        </w:rPr>
        <w:t xml:space="preserve"> </w:t>
      </w:r>
    </w:p>
    <w:p w:rsidR="00645005" w:rsidRDefault="00431069">
      <w:pPr>
        <w:spacing w:after="0" w:line="480" w:lineRule="auto"/>
        <w:ind w:left="720" w:hanging="720"/>
        <w:jc w:val="both"/>
      </w:pPr>
      <w:r>
        <w:rPr>
          <w:rFonts w:ascii="Times New Roman" w:hAnsi="Times New Roman"/>
          <w:sz w:val="24"/>
        </w:rPr>
        <w:t xml:space="preserve">Balase, M. M. H., &amp; Paglinawan, J. L. (2025). Voices from the field: Teachers' narratives and reflections on integrating the DepEd Learning Management System (LMS) in teaching and professional development. </w:t>
      </w:r>
      <w:r>
        <w:rPr>
          <w:rFonts w:ascii="Times New Roman" w:hAnsi="Times New Roman"/>
          <w:i/>
          <w:sz w:val="24"/>
        </w:rPr>
        <w:t>International Journal of Scientific and Management Research, 8</w:t>
      </w:r>
      <w:r>
        <w:rPr>
          <w:rFonts w:ascii="Times New Roman" w:hAnsi="Times New Roman"/>
          <w:sz w:val="24"/>
        </w:rPr>
        <w:t xml:space="preserve">(10), 147–159. </w:t>
      </w:r>
      <w:hyperlink r:id="rId7" w:history="1">
        <w:r w:rsidR="00E24956" w:rsidRPr="005D1928">
          <w:rPr>
            <w:rStyle w:val="Hyperlink"/>
            <w:rFonts w:ascii="Times New Roman" w:hAnsi="Times New Roman"/>
            <w:sz w:val="24"/>
          </w:rPr>
          <w:t>https://doi.org/10.37502/ijsmr.2025.81011</w:t>
        </w:r>
      </w:hyperlink>
      <w:r w:rsidR="00E24956">
        <w:rPr>
          <w:rFonts w:ascii="Times New Roman" w:hAnsi="Times New Roman"/>
          <w:sz w:val="24"/>
        </w:rPr>
        <w:t xml:space="preserve"> </w:t>
      </w:r>
    </w:p>
    <w:p w:rsidR="00645005" w:rsidRDefault="00431069">
      <w:pPr>
        <w:spacing w:after="0" w:line="480" w:lineRule="auto"/>
        <w:ind w:left="720" w:hanging="720"/>
        <w:jc w:val="both"/>
      </w:pPr>
      <w:r>
        <w:t xml:space="preserve">Dahal, N., &amp; Manandhar, N. (2024). The reality of e-learning: Success and failure of learning management system. Advances in Mobile Learning Educational Research, 4(1), 903–910. </w:t>
      </w:r>
      <w:hyperlink r:id="rId8" w:history="1">
        <w:r w:rsidR="0098519B" w:rsidRPr="008D0F6D">
          <w:rPr>
            <w:rStyle w:val="Hyperlink"/>
          </w:rPr>
          <w:t>https://doi.org/10.25082/amler.2024.01.001</w:t>
        </w:r>
      </w:hyperlink>
      <w:r w:rsidR="0098519B">
        <w:t xml:space="preserve"> </w:t>
      </w:r>
    </w:p>
    <w:p w:rsidR="00645005" w:rsidRDefault="00431069">
      <w:pPr>
        <w:spacing w:after="0" w:line="480" w:lineRule="auto"/>
        <w:ind w:left="720" w:hanging="720"/>
        <w:jc w:val="both"/>
      </w:pPr>
      <w:r>
        <w:rPr>
          <w:rFonts w:ascii="Times New Roman" w:hAnsi="Times New Roman"/>
          <w:sz w:val="24"/>
        </w:rPr>
        <w:t xml:space="preserve">Bulathwela, S., Pérez-Ortiz, M., Holloway, C., Cukurova, M., &amp; Shawe-Taylor, J. (2023). Review on neural question generation for education purposes. </w:t>
      </w:r>
      <w:r>
        <w:rPr>
          <w:rFonts w:ascii="Times New Roman" w:hAnsi="Times New Roman"/>
          <w:i/>
          <w:sz w:val="24"/>
        </w:rPr>
        <w:t>International Journal of Artificial Intelligence in Education, 33</w:t>
      </w:r>
      <w:r>
        <w:rPr>
          <w:rFonts w:ascii="Times New Roman" w:hAnsi="Times New Roman"/>
          <w:sz w:val="24"/>
        </w:rPr>
        <w:t xml:space="preserve">(4), 691–717. </w:t>
      </w:r>
      <w:hyperlink r:id="rId9" w:history="1">
        <w:r w:rsidR="00E24956" w:rsidRPr="005D1928">
          <w:rPr>
            <w:rStyle w:val="Hyperlink"/>
            <w:rFonts w:ascii="Times New Roman" w:hAnsi="Times New Roman"/>
            <w:sz w:val="24"/>
          </w:rPr>
          <w:t>https://doi.org/10.1007/s40593-023-00374-x</w:t>
        </w:r>
      </w:hyperlink>
      <w:r w:rsidR="00E24956">
        <w:rPr>
          <w:rFonts w:ascii="Times New Roman" w:hAnsi="Times New Roman"/>
          <w:sz w:val="24"/>
        </w:rPr>
        <w:t xml:space="preserve"> </w:t>
      </w:r>
    </w:p>
    <w:p w:rsidR="00645005" w:rsidRDefault="00431069">
      <w:pPr>
        <w:spacing w:after="0" w:line="480" w:lineRule="auto"/>
        <w:ind w:left="720" w:hanging="720"/>
        <w:jc w:val="both"/>
      </w:pPr>
      <w:r>
        <w:rPr>
          <w:rFonts w:ascii="Times New Roman" w:hAnsi="Times New Roman"/>
          <w:sz w:val="24"/>
        </w:rPr>
        <w:t xml:space="preserve">Bustillo, E., &amp; Aguilos, M. (2022). The challenges of modular learning in the wake of COVID-19: A digital divide in the Philippine countryside revealed. </w:t>
      </w:r>
      <w:r>
        <w:rPr>
          <w:rFonts w:ascii="Times New Roman" w:hAnsi="Times New Roman"/>
          <w:i/>
          <w:sz w:val="24"/>
        </w:rPr>
        <w:t>Education Sciences, 12</w:t>
      </w:r>
      <w:r>
        <w:rPr>
          <w:rFonts w:ascii="Times New Roman" w:hAnsi="Times New Roman"/>
          <w:sz w:val="24"/>
        </w:rPr>
        <w:t xml:space="preserve">(7), 449. </w:t>
      </w:r>
      <w:hyperlink r:id="rId10" w:history="1">
        <w:r w:rsidR="00E24956" w:rsidRPr="005D1928">
          <w:rPr>
            <w:rStyle w:val="Hyperlink"/>
            <w:rFonts w:ascii="Times New Roman" w:hAnsi="Times New Roman"/>
            <w:sz w:val="24"/>
          </w:rPr>
          <w:t>https://doi.org/10.3390/educsci12070449</w:t>
        </w:r>
      </w:hyperlink>
      <w:r w:rsidR="00E24956">
        <w:rPr>
          <w:rFonts w:ascii="Times New Roman" w:hAnsi="Times New Roman"/>
          <w:sz w:val="24"/>
        </w:rPr>
        <w:t xml:space="preserve"> </w:t>
      </w:r>
    </w:p>
    <w:p w:rsidR="00645005" w:rsidRDefault="00431069">
      <w:pPr>
        <w:spacing w:after="0" w:line="480" w:lineRule="auto"/>
        <w:ind w:left="720" w:hanging="720"/>
        <w:jc w:val="both"/>
      </w:pPr>
      <w:r>
        <w:rPr>
          <w:rFonts w:ascii="Times New Roman" w:hAnsi="Times New Roman"/>
          <w:sz w:val="24"/>
        </w:rPr>
        <w:t xml:space="preserve">Colegado, J. C. (2025). Digital innovations in science education in the Philippines: A scoping review of teaching practices and tools. </w:t>
      </w:r>
      <w:r>
        <w:rPr>
          <w:rFonts w:ascii="Times New Roman" w:hAnsi="Times New Roman"/>
          <w:i/>
          <w:sz w:val="24"/>
        </w:rPr>
        <w:t xml:space="preserve">International Journal of Research </w:t>
      </w:r>
      <w:r>
        <w:rPr>
          <w:rFonts w:ascii="Times New Roman" w:hAnsi="Times New Roman"/>
          <w:i/>
          <w:sz w:val="24"/>
        </w:rPr>
        <w:lastRenderedPageBreak/>
        <w:t>and Innovation in Social Science, 9</w:t>
      </w:r>
      <w:r>
        <w:rPr>
          <w:rFonts w:ascii="Times New Roman" w:hAnsi="Times New Roman"/>
          <w:sz w:val="24"/>
        </w:rPr>
        <w:t xml:space="preserve">(3S), 6549–6556. </w:t>
      </w:r>
      <w:hyperlink r:id="rId11" w:history="1">
        <w:r w:rsidR="00E24956" w:rsidRPr="005D1928">
          <w:rPr>
            <w:rStyle w:val="Hyperlink"/>
            <w:rFonts w:ascii="Times New Roman" w:hAnsi="Times New Roman"/>
            <w:sz w:val="24"/>
          </w:rPr>
          <w:t>https://doi.org/10.47772/IJRISS.2025.903SEDU0479</w:t>
        </w:r>
      </w:hyperlink>
      <w:r w:rsidR="00E24956">
        <w:rPr>
          <w:rFonts w:ascii="Times New Roman" w:hAnsi="Times New Roman"/>
          <w:sz w:val="24"/>
        </w:rPr>
        <w:t xml:space="preserve"> </w:t>
      </w:r>
    </w:p>
    <w:p w:rsidR="00645005" w:rsidRDefault="00431069">
      <w:pPr>
        <w:spacing w:after="0" w:line="480" w:lineRule="auto"/>
        <w:ind w:left="720" w:hanging="720"/>
        <w:jc w:val="both"/>
      </w:pPr>
      <w:r>
        <w:rPr>
          <w:rFonts w:ascii="Times New Roman" w:hAnsi="Times New Roman"/>
          <w:sz w:val="24"/>
        </w:rPr>
        <w:t xml:space="preserve">García-Varela, F., Nussbaum, M., Mendoza, M., Martínez-Troncoso, C., &amp; Bekerman, Z. (2025). ChatGPT as a stable and fair tool for automated essay scoring. </w:t>
      </w:r>
      <w:r>
        <w:rPr>
          <w:rFonts w:ascii="Times New Roman" w:hAnsi="Times New Roman"/>
          <w:i/>
          <w:sz w:val="24"/>
        </w:rPr>
        <w:t>Education Sciences, 15</w:t>
      </w:r>
      <w:r>
        <w:rPr>
          <w:rFonts w:ascii="Times New Roman" w:hAnsi="Times New Roman"/>
          <w:sz w:val="24"/>
        </w:rPr>
        <w:t xml:space="preserve">(8), Article 946. </w:t>
      </w:r>
      <w:hyperlink r:id="rId12" w:history="1">
        <w:r w:rsidR="0098519B" w:rsidRPr="008D0F6D">
          <w:rPr>
            <w:rStyle w:val="Hyperlink"/>
            <w:rFonts w:ascii="Times New Roman" w:hAnsi="Times New Roman"/>
            <w:sz w:val="24"/>
          </w:rPr>
          <w:t>https://doi.org/10.3390/educs</w:t>
        </w:r>
        <w:r w:rsidR="0098519B" w:rsidRPr="008D0F6D">
          <w:rPr>
            <w:rStyle w:val="Hyperlink"/>
            <w:rFonts w:ascii="Times New Roman" w:hAnsi="Times New Roman"/>
            <w:sz w:val="24"/>
          </w:rPr>
          <w:t>c</w:t>
        </w:r>
        <w:r w:rsidR="0098519B" w:rsidRPr="008D0F6D">
          <w:rPr>
            <w:rStyle w:val="Hyperlink"/>
            <w:rFonts w:ascii="Times New Roman" w:hAnsi="Times New Roman"/>
            <w:sz w:val="24"/>
          </w:rPr>
          <w:t>i15080946</w:t>
        </w:r>
      </w:hyperlink>
      <w:r w:rsidR="0098519B">
        <w:rPr>
          <w:rFonts w:ascii="Times New Roman" w:hAnsi="Times New Roman"/>
          <w:sz w:val="24"/>
        </w:rPr>
        <w:t xml:space="preserve"> </w:t>
      </w:r>
    </w:p>
    <w:p w:rsidR="00645005" w:rsidRDefault="00431069">
      <w:pPr>
        <w:spacing w:after="0" w:line="480" w:lineRule="auto"/>
        <w:ind w:left="720" w:hanging="720"/>
        <w:jc w:val="both"/>
      </w:pPr>
      <w:r>
        <w:rPr>
          <w:rFonts w:ascii="Times New Roman" w:hAnsi="Times New Roman"/>
          <w:sz w:val="24"/>
        </w:rPr>
        <w:t xml:space="preserve">International Organization for Standardization. (2011). </w:t>
      </w:r>
      <w:r>
        <w:rPr>
          <w:rFonts w:ascii="Times New Roman" w:hAnsi="Times New Roman"/>
          <w:i/>
          <w:sz w:val="24"/>
        </w:rPr>
        <w:t>Systems and software engineering—Systems and software Quality Requirements and Evaluation (SQuaRE)—System and software quality models</w:t>
      </w:r>
      <w:r>
        <w:rPr>
          <w:rFonts w:ascii="Times New Roman" w:hAnsi="Times New Roman"/>
          <w:sz w:val="24"/>
        </w:rPr>
        <w:t xml:space="preserve"> (ISO/IEC Standard No. 25010:2011). </w:t>
      </w:r>
      <w:hyperlink r:id="rId13" w:history="1">
        <w:r w:rsidR="00E24956" w:rsidRPr="005D1928">
          <w:rPr>
            <w:rStyle w:val="Hyperlink"/>
            <w:rFonts w:ascii="Times New Roman" w:hAnsi="Times New Roman"/>
            <w:sz w:val="24"/>
          </w:rPr>
          <w:t>https://www.iso.org/standard/35733.html</w:t>
        </w:r>
      </w:hyperlink>
      <w:r w:rsidR="00E24956">
        <w:rPr>
          <w:rFonts w:ascii="Times New Roman" w:hAnsi="Times New Roman"/>
          <w:sz w:val="24"/>
        </w:rPr>
        <w:t xml:space="preserve"> </w:t>
      </w:r>
    </w:p>
    <w:p w:rsidR="00645005" w:rsidRDefault="00431069">
      <w:pPr>
        <w:spacing w:after="0" w:line="480" w:lineRule="auto"/>
        <w:ind w:left="720" w:hanging="720"/>
        <w:jc w:val="both"/>
      </w:pPr>
      <w:r>
        <w:rPr>
          <w:rFonts w:ascii="Times New Roman" w:hAnsi="Times New Roman"/>
          <w:sz w:val="24"/>
        </w:rPr>
        <w:t xml:space="preserve">Jumao-as, J., Fuentes, J. L., Lacar, L., Fuertes, G. J., Erag, C., &amp; Tagaylo, C. (2025). Reading remediation program and Grade 4 pupils' reading comprehension. </w:t>
      </w:r>
      <w:r>
        <w:rPr>
          <w:rFonts w:ascii="Times New Roman" w:hAnsi="Times New Roman"/>
          <w:i/>
          <w:sz w:val="24"/>
        </w:rPr>
        <w:t>Asian Journal of Education and Social Studies, 51</w:t>
      </w:r>
      <w:r>
        <w:rPr>
          <w:rFonts w:ascii="Times New Roman" w:hAnsi="Times New Roman"/>
          <w:sz w:val="24"/>
        </w:rPr>
        <w:t xml:space="preserve">(6), 365–377. </w:t>
      </w:r>
      <w:hyperlink r:id="rId14" w:history="1">
        <w:r w:rsidR="00E24956" w:rsidRPr="005D1928">
          <w:rPr>
            <w:rStyle w:val="Hyperlink"/>
            <w:rFonts w:ascii="Times New Roman" w:hAnsi="Times New Roman"/>
            <w:sz w:val="24"/>
          </w:rPr>
          <w:t>https://doi.org/10.9734/ajess/2025/v51i62000</w:t>
        </w:r>
      </w:hyperlink>
      <w:r w:rsidR="00E24956">
        <w:rPr>
          <w:rFonts w:ascii="Times New Roman" w:hAnsi="Times New Roman"/>
          <w:sz w:val="24"/>
        </w:rPr>
        <w:t xml:space="preserve"> </w:t>
      </w:r>
    </w:p>
    <w:p w:rsidR="00645005" w:rsidRDefault="00431069">
      <w:pPr>
        <w:spacing w:after="0" w:line="480" w:lineRule="auto"/>
        <w:ind w:left="720" w:hanging="720"/>
        <w:jc w:val="both"/>
      </w:pPr>
      <w:r>
        <w:rPr>
          <w:rFonts w:ascii="Times New Roman" w:hAnsi="Times New Roman"/>
          <w:sz w:val="24"/>
        </w:rPr>
        <w:t xml:space="preserve">Marcos, L. T. (2026). A systematic review on artificial intelligence in education: Opportunities, challenges, and ethical implications. </w:t>
      </w:r>
      <w:r>
        <w:rPr>
          <w:rFonts w:ascii="Times New Roman" w:hAnsi="Times New Roman"/>
          <w:i/>
          <w:sz w:val="24"/>
        </w:rPr>
        <w:t>Preprints</w:t>
      </w:r>
      <w:r>
        <w:rPr>
          <w:rFonts w:ascii="Times New Roman" w:hAnsi="Times New Roman"/>
          <w:sz w:val="24"/>
        </w:rPr>
        <w:t xml:space="preserve">. </w:t>
      </w:r>
      <w:hyperlink r:id="rId15" w:history="1">
        <w:r w:rsidR="00E24956" w:rsidRPr="005D1928">
          <w:rPr>
            <w:rStyle w:val="Hyperlink"/>
            <w:rFonts w:ascii="Times New Roman" w:hAnsi="Times New Roman"/>
            <w:sz w:val="24"/>
          </w:rPr>
          <w:t>https://doi.org/10.20944/preprints202601.0448.v1</w:t>
        </w:r>
      </w:hyperlink>
      <w:r w:rsidR="00E24956">
        <w:rPr>
          <w:rFonts w:ascii="Times New Roman" w:hAnsi="Times New Roman"/>
          <w:sz w:val="24"/>
        </w:rPr>
        <w:t xml:space="preserve">  </w:t>
      </w:r>
    </w:p>
    <w:p w:rsidR="00645005" w:rsidRDefault="00431069">
      <w:pPr>
        <w:spacing w:after="0" w:line="480" w:lineRule="auto"/>
        <w:ind w:left="720" w:hanging="720"/>
        <w:jc w:val="both"/>
      </w:pPr>
      <w:r>
        <w:rPr>
          <w:rFonts w:ascii="Times New Roman" w:hAnsi="Times New Roman"/>
          <w:sz w:val="24"/>
        </w:rPr>
        <w:t xml:space="preserve">Merino-Campos, C. (2025). The impact of artificial intelligence on personalized learning in higher education: A systematic review. </w:t>
      </w:r>
      <w:r>
        <w:rPr>
          <w:rFonts w:ascii="Times New Roman" w:hAnsi="Times New Roman"/>
          <w:i/>
          <w:sz w:val="24"/>
        </w:rPr>
        <w:t>Trends in Higher Education, 4</w:t>
      </w:r>
      <w:r>
        <w:rPr>
          <w:rFonts w:ascii="Times New Roman" w:hAnsi="Times New Roman"/>
          <w:sz w:val="24"/>
        </w:rPr>
        <w:t xml:space="preserve">(2), Article 17. </w:t>
      </w:r>
      <w:hyperlink r:id="rId16" w:history="1">
        <w:r w:rsidR="00E24956" w:rsidRPr="005D1928">
          <w:rPr>
            <w:rStyle w:val="Hyperlink"/>
            <w:rFonts w:ascii="Times New Roman" w:hAnsi="Times New Roman"/>
            <w:sz w:val="24"/>
          </w:rPr>
          <w:t>https://doi.org/10.3390/higheredu4020017</w:t>
        </w:r>
      </w:hyperlink>
      <w:r w:rsidR="00E24956">
        <w:rPr>
          <w:rFonts w:ascii="Times New Roman" w:hAnsi="Times New Roman"/>
          <w:sz w:val="24"/>
        </w:rPr>
        <w:t xml:space="preserve"> </w:t>
      </w:r>
    </w:p>
    <w:p w:rsidR="00645005" w:rsidRDefault="00431069">
      <w:pPr>
        <w:spacing w:after="0" w:line="480" w:lineRule="auto"/>
        <w:ind w:left="720" w:hanging="720"/>
        <w:jc w:val="both"/>
      </w:pPr>
      <w:r>
        <w:rPr>
          <w:rFonts w:ascii="Times New Roman" w:hAnsi="Times New Roman"/>
          <w:sz w:val="24"/>
        </w:rPr>
        <w:t xml:space="preserve">Persky, A. M., &amp; Hughes, M. L. (2022). A practical review of mastery learning. </w:t>
      </w:r>
      <w:r>
        <w:rPr>
          <w:rFonts w:ascii="Times New Roman" w:hAnsi="Times New Roman"/>
          <w:i/>
          <w:sz w:val="24"/>
        </w:rPr>
        <w:t>American Journal of Pharmaceutical Education, 86</w:t>
      </w:r>
      <w:r>
        <w:rPr>
          <w:rFonts w:ascii="Times New Roman" w:hAnsi="Times New Roman"/>
          <w:sz w:val="24"/>
        </w:rPr>
        <w:t xml:space="preserve">(10), Article 8906. </w:t>
      </w:r>
      <w:hyperlink r:id="rId17" w:history="1">
        <w:r w:rsidR="00E24956" w:rsidRPr="005D1928">
          <w:rPr>
            <w:rStyle w:val="Hyperlink"/>
            <w:rFonts w:ascii="Times New Roman" w:hAnsi="Times New Roman"/>
            <w:sz w:val="24"/>
          </w:rPr>
          <w:t>https://doi.org/10.5688/ajpe8906</w:t>
        </w:r>
      </w:hyperlink>
      <w:r w:rsidR="00E24956">
        <w:rPr>
          <w:rFonts w:ascii="Times New Roman" w:hAnsi="Times New Roman"/>
          <w:sz w:val="24"/>
        </w:rPr>
        <w:t xml:space="preserve"> </w:t>
      </w:r>
    </w:p>
    <w:p w:rsidR="00645005" w:rsidRDefault="00431069">
      <w:pPr>
        <w:spacing w:after="0" w:line="480" w:lineRule="auto"/>
        <w:ind w:left="720" w:hanging="720"/>
        <w:jc w:val="both"/>
      </w:pPr>
      <w:r>
        <w:rPr>
          <w:rFonts w:ascii="Times New Roman" w:hAnsi="Times New Roman"/>
          <w:sz w:val="24"/>
        </w:rPr>
        <w:lastRenderedPageBreak/>
        <w:t xml:space="preserve">Ramesh, D., &amp; Sanampudi, S. K. (2022). An automated essay scoring systems: A systematic literature review. </w:t>
      </w:r>
      <w:r>
        <w:rPr>
          <w:rFonts w:ascii="Times New Roman" w:hAnsi="Times New Roman"/>
          <w:i/>
          <w:sz w:val="24"/>
        </w:rPr>
        <w:t>Artificial Intelligence Review, 55</w:t>
      </w:r>
      <w:r>
        <w:rPr>
          <w:rFonts w:ascii="Times New Roman" w:hAnsi="Times New Roman"/>
          <w:sz w:val="24"/>
        </w:rPr>
        <w:t xml:space="preserve">(3), 2495–2527. </w:t>
      </w:r>
      <w:hyperlink r:id="rId18" w:history="1">
        <w:r w:rsidR="00E24956" w:rsidRPr="005D1928">
          <w:rPr>
            <w:rStyle w:val="Hyperlink"/>
            <w:rFonts w:ascii="Times New Roman" w:hAnsi="Times New Roman"/>
            <w:sz w:val="24"/>
          </w:rPr>
          <w:t>https://doi.org/10.1007/s10462-021-10068-2</w:t>
        </w:r>
      </w:hyperlink>
      <w:r w:rsidR="00E24956">
        <w:rPr>
          <w:rFonts w:ascii="Times New Roman" w:hAnsi="Times New Roman"/>
          <w:sz w:val="24"/>
        </w:rPr>
        <w:t xml:space="preserve"> </w:t>
      </w:r>
    </w:p>
    <w:sectPr w:rsidR="00645005">
      <w:headerReference w:type="default" r:id="rId19"/>
      <w:footerReference w:type="default" r:id="rId20"/>
      <w:pgSz w:w="12240" w:h="15840"/>
      <w:pgMar w:top="1440" w:right="1440" w:bottom="1440" w:left="2160" w:header="850" w:footer="1134"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866CB" w:rsidRDefault="009866CB">
      <w:pPr>
        <w:spacing w:after="0" w:line="240" w:lineRule="auto"/>
      </w:pPr>
      <w:r>
        <w:separator/>
      </w:r>
    </w:p>
  </w:endnote>
  <w:endnote w:type="continuationSeparator" w:id="0">
    <w:p w:rsidR="009866CB" w:rsidRDefault="009866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embedRegular r:id="rId1" w:fontKey="{28967703-9329-49DC-8266-C195DE58B999}"/>
    <w:embedBold r:id="rId2" w:fontKey="{7EA3029C-E15D-4FFB-99D4-84E71DEE3B2F}"/>
    <w:embedItalic r:id="rId3" w:fontKey="{C8137F6A-D11E-489F-A9DC-4353DD21314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F4A99AC6-39AB-4EAA-A490-E0B95443D882}"/>
  </w:font>
  <w:font w:name="Segoe UI Symbol">
    <w:panose1 w:val="020B0502040204020203"/>
    <w:charset w:val="00"/>
    <w:family w:val="swiss"/>
    <w:pitch w:val="variable"/>
    <w:sig w:usb0="800001E3" w:usb1="1200FFEF" w:usb2="00040000" w:usb3="00000000" w:csb0="00000001" w:csb1="00000000"/>
    <w:embedRegular r:id="rId5" w:fontKey="{D5047143-7198-42E6-9644-30C26AB775E0}"/>
  </w:font>
  <w:font w:name="Cambria">
    <w:panose1 w:val="02040503050406030204"/>
    <w:charset w:val="00"/>
    <w:family w:val="roman"/>
    <w:pitch w:val="variable"/>
    <w:sig w:usb0="E00006FF" w:usb1="420024FF" w:usb2="02000000" w:usb3="00000000" w:csb0="0000019F" w:csb1="00000000"/>
    <w:embedRegular r:id="rId6" w:fontKey="{DA4AEECA-2636-4E94-88DD-D208F4CEA464}"/>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418A" w:rsidRDefault="00846432">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341DD2">
      <w:rPr>
        <w:rFonts w:ascii="Times New Roman" w:eastAsia="Times New Roman" w:hAnsi="Times New Roman" w:cs="Times New Roman"/>
        <w:noProof/>
        <w:color w:val="000000"/>
        <w:sz w:val="24"/>
        <w:szCs w:val="24"/>
      </w:rPr>
      <w:t>4</w:t>
    </w:r>
    <w:r>
      <w:rPr>
        <w:rFonts w:ascii="Times New Roman" w:eastAsia="Times New Roman" w:hAnsi="Times New Roman" w:cs="Times New Roman"/>
        <w:color w:val="000000"/>
        <w:sz w:val="24"/>
        <w:szCs w:val="24"/>
      </w:rPr>
      <w:fldChar w:fldCharType="end"/>
    </w:r>
    <w:r>
      <w:rPr>
        <w:noProof/>
      </w:rPr>
      <w:drawing>
        <wp:anchor distT="0" distB="0" distL="114300" distR="114300" simplePos="0" relativeHeight="251659264" behindDoc="0" locked="0" layoutInCell="1" hidden="0" allowOverlap="1">
          <wp:simplePos x="0" y="0"/>
          <wp:positionH relativeFrom="column">
            <wp:posOffset>-1384934</wp:posOffset>
          </wp:positionH>
          <wp:positionV relativeFrom="paragraph">
            <wp:posOffset>169866</wp:posOffset>
          </wp:positionV>
          <wp:extent cx="7772400" cy="16764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772400" cy="167640"/>
                  </a:xfrm>
                  <a:prstGeom prst="rect">
                    <a:avLst/>
                  </a:prstGeom>
                  <a:ln/>
                </pic:spPr>
              </pic:pic>
            </a:graphicData>
          </a:graphic>
        </wp:anchor>
      </w:drawing>
    </w:r>
  </w:p>
  <w:p w:rsidR="00F5418A" w:rsidRDefault="00F5418A">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866CB" w:rsidRDefault="009866CB">
      <w:pPr>
        <w:spacing w:after="0" w:line="240" w:lineRule="auto"/>
      </w:pPr>
      <w:r>
        <w:separator/>
      </w:r>
    </w:p>
  </w:footnote>
  <w:footnote w:type="continuationSeparator" w:id="0">
    <w:p w:rsidR="009866CB" w:rsidRDefault="009866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5418A" w:rsidRDefault="00846432">
    <w:pPr>
      <w:pBdr>
        <w:top w:val="nil"/>
        <w:left w:val="nil"/>
        <w:bottom w:val="nil"/>
        <w:right w:val="nil"/>
        <w:between w:val="nil"/>
      </w:pBdr>
      <w:tabs>
        <w:tab w:val="center" w:pos="4680"/>
        <w:tab w:val="right" w:pos="9360"/>
      </w:tabs>
      <w:spacing w:after="0" w:line="240" w:lineRule="auto"/>
      <w:rPr>
        <w:color w:val="000000"/>
      </w:rPr>
    </w:pPr>
    <w:r>
      <w:rPr>
        <w:noProof/>
      </w:rPr>
      <w:drawing>
        <wp:anchor distT="0" distB="0" distL="114300" distR="114300" simplePos="0" relativeHeight="251658240" behindDoc="0" locked="0" layoutInCell="1" hidden="0" allowOverlap="1">
          <wp:simplePos x="0" y="0"/>
          <wp:positionH relativeFrom="column">
            <wp:posOffset>-1487169</wp:posOffset>
          </wp:positionH>
          <wp:positionV relativeFrom="paragraph">
            <wp:posOffset>-655426</wp:posOffset>
          </wp:positionV>
          <wp:extent cx="7887970" cy="116586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7887970" cy="1165860"/>
                  </a:xfrm>
                  <a:prstGeom prst="rect">
                    <a:avLst/>
                  </a:prstGeom>
                  <a:ln/>
                </pic:spPr>
              </pic:pic>
            </a:graphicData>
          </a:graphic>
        </wp:anchor>
      </w:drawing>
    </w:r>
  </w:p>
  <w:p w:rsidR="00F5418A" w:rsidRDefault="00F5418A">
    <w:pPr>
      <w:pBdr>
        <w:top w:val="nil"/>
        <w:left w:val="nil"/>
        <w:bottom w:val="nil"/>
        <w:right w:val="nil"/>
        <w:between w:val="nil"/>
      </w:pBdr>
      <w:tabs>
        <w:tab w:val="center" w:pos="4680"/>
        <w:tab w:val="right" w:pos="9360"/>
      </w:tabs>
      <w:spacing w:after="0" w:line="240" w:lineRule="auto"/>
      <w:rPr>
        <w:color w:val="000000"/>
      </w:rPr>
    </w:pPr>
  </w:p>
  <w:p w:rsidR="00F5418A" w:rsidRDefault="00F5418A">
    <w:pPr>
      <w:pBdr>
        <w:top w:val="nil"/>
        <w:left w:val="nil"/>
        <w:bottom w:val="nil"/>
        <w:right w:val="nil"/>
        <w:between w:val="nil"/>
      </w:pBdr>
      <w:tabs>
        <w:tab w:val="center" w:pos="4680"/>
        <w:tab w:val="right" w:pos="9360"/>
      </w:tabs>
      <w:spacing w:after="0" w:line="240" w:lineRule="auto"/>
      <w:rPr>
        <w:color w:val="000000"/>
      </w:rPr>
    </w:pPr>
  </w:p>
  <w:p w:rsidR="00F5418A" w:rsidRDefault="00F5418A">
    <w:pPr>
      <w:pBdr>
        <w:top w:val="nil"/>
        <w:left w:val="nil"/>
        <w:bottom w:val="nil"/>
        <w:right w:val="nil"/>
        <w:between w:val="nil"/>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418A"/>
    <w:rsid w:val="0027776D"/>
    <w:rsid w:val="002A01FF"/>
    <w:rsid w:val="00341DD2"/>
    <w:rsid w:val="00431069"/>
    <w:rsid w:val="004F3D34"/>
    <w:rsid w:val="00500450"/>
    <w:rsid w:val="00554D81"/>
    <w:rsid w:val="00570319"/>
    <w:rsid w:val="00645005"/>
    <w:rsid w:val="00682ADB"/>
    <w:rsid w:val="006B65FA"/>
    <w:rsid w:val="00846432"/>
    <w:rsid w:val="00882047"/>
    <w:rsid w:val="0098519B"/>
    <w:rsid w:val="009866CB"/>
    <w:rsid w:val="00A161C0"/>
    <w:rsid w:val="00AD014B"/>
    <w:rsid w:val="00BB65C2"/>
    <w:rsid w:val="00BD7D69"/>
    <w:rsid w:val="00D958C7"/>
    <w:rsid w:val="00E24956"/>
    <w:rsid w:val="00EE70AC"/>
    <w:rsid w:val="00F5418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87F70"/>
  <w15:docId w15:val="{E21AB72F-DF56-44C0-9BA7-7AE4AFB67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PH" w:eastAsia="en-PH"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bCs/>
      <w:sz w:val="48"/>
      <w:szCs w:val="48"/>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character" w:styleId="Hyperlink">
    <w:name w:val="Hyperlink"/>
    <w:basedOn w:val="DefaultParagraphFont"/>
    <w:uiPriority w:val="99"/>
    <w:unhideWhenUsed/>
    <w:rsid w:val="00E24956"/>
    <w:rPr>
      <w:color w:val="0000FF" w:themeColor="hyperlink"/>
      <w:u w:val="single"/>
    </w:rPr>
  </w:style>
  <w:style w:type="character" w:styleId="FollowedHyperlink">
    <w:name w:val="FollowedHyperlink"/>
    <w:basedOn w:val="DefaultParagraphFont"/>
    <w:uiPriority w:val="99"/>
    <w:semiHidden/>
    <w:unhideWhenUsed/>
    <w:rsid w:val="0098519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25082/amler.2024.01.001" TargetMode="External"/><Relationship Id="rId13" Type="http://schemas.openxmlformats.org/officeDocument/2006/relationships/hyperlink" Target="https://www.iso.org/standard/35733.html" TargetMode="External"/><Relationship Id="rId18" Type="http://schemas.openxmlformats.org/officeDocument/2006/relationships/hyperlink" Target="https://doi.org/10.1007/s10462-021-10068-2" TargetMode="External"/><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hyperlink" Target="https://doi.org/10.37502/ijsmr.2025.81011" TargetMode="External"/><Relationship Id="rId12" Type="http://schemas.openxmlformats.org/officeDocument/2006/relationships/hyperlink" Target="https://doi.org/10.3390/educsci15080946" TargetMode="External"/><Relationship Id="rId17" Type="http://schemas.openxmlformats.org/officeDocument/2006/relationships/hyperlink" Target="https://doi.org/10.5688/ajpe8906" TargetMode="External"/><Relationship Id="rId2" Type="http://schemas.openxmlformats.org/officeDocument/2006/relationships/settings" Target="settings.xml"/><Relationship Id="rId16" Type="http://schemas.openxmlformats.org/officeDocument/2006/relationships/hyperlink" Target="https://doi.org/10.3390/higheredu4020017" TargetMode="External"/><Relationship Id="rId20" Type="http://schemas.openxmlformats.org/officeDocument/2006/relationships/footer" Target="footer1.xml"/><Relationship Id="rId1" Type="http://schemas.openxmlformats.org/officeDocument/2006/relationships/styles" Target="styles.xml"/><Relationship Id="rId6" Type="http://schemas.openxmlformats.org/officeDocument/2006/relationships/hyperlink" Target="https://doi.org/10.48084/etasr.10662" TargetMode="External"/><Relationship Id="rId11" Type="http://schemas.openxmlformats.org/officeDocument/2006/relationships/hyperlink" Target="https://doi.org/10.47772/IJRISS.2025.903SEDU0479" TargetMode="External"/><Relationship Id="rId5" Type="http://schemas.openxmlformats.org/officeDocument/2006/relationships/endnotes" Target="endnotes.xml"/><Relationship Id="rId15" Type="http://schemas.openxmlformats.org/officeDocument/2006/relationships/hyperlink" Target="https://doi.org/10.20944/preprints202601.0448.v1" TargetMode="External"/><Relationship Id="rId10" Type="http://schemas.openxmlformats.org/officeDocument/2006/relationships/hyperlink" Target="https://doi.org/10.3390/educsci12070449" TargetMode="External"/><Relationship Id="rId19"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s://doi.org/10.1007/s40593-023-00374-x" TargetMode="External"/><Relationship Id="rId14" Type="http://schemas.openxmlformats.org/officeDocument/2006/relationships/hyperlink" Target="https://doi.org/10.9734/ajess/2025/v51i62000"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78</TotalTime>
  <Pages>24</Pages>
  <Words>4922</Words>
  <Characters>28057</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Patrick R. Sagum</dc:creator>
  <cp:lastModifiedBy>Name</cp:lastModifiedBy>
  <cp:revision>13</cp:revision>
  <cp:lastPrinted>2026-03-30T09:37:00Z</cp:lastPrinted>
  <dcterms:created xsi:type="dcterms:W3CDTF">2026-03-30T07:38:00Z</dcterms:created>
  <dcterms:modified xsi:type="dcterms:W3CDTF">2026-05-08T08:44:00Z</dcterms:modified>
</cp:coreProperties>
</file>