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Centralized Learning Portal. Contextually, this is an integrated online platform within a learning management system that supports structured content delivery and access to learning resources, as well as course activities and assessments (Dahal &amp; Manandhar, 2024).</w:t>
      </w:r>
      <w:r w:rsidRPr="002A01FF">
        <w:rPr>
          <w:rFonts w:ascii="Times New Roman" w:eastAsia="Times New Roman" w:hAnsi="Times New Roman" w:cs="Times New Roman"/>
          <w:color w:val="000000"/>
          <w:sz w:val="24"/>
          <w:szCs w:val="24"/>
        </w:rPr>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w:t>
      </w:r>
      <w:r w:rsidRPr="002A01FF">
        <w:rPr>
          <w:rFonts w:ascii="Times New Roman" w:eastAsia="Times New Roman" w:hAnsi="Times New Roman" w:cs="Times New Roman"/>
          <w:color w:val="000000"/>
          <w:sz w:val="24"/>
          <w:szCs w:val="24"/>
        </w:rPr>
        <w:lastRenderedPageBreak/>
        <w:t>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Simon et al. (2025) further observed that learning management systems function as active environments for information dissemination, assignments, feedback, and classroom management, which supports the role of A.I.M.S. as both a content access and submission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Recent research has further validated the use of large language models (LLMs) in automated question generation for educational domains. Gorgun and Bulut (2024) noted that although automated question generation can efficiently produce large volumes of assessment items, gaps in standardized quality evaluation and usability review still hinder seamless educational deployment.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Automated assessment systems are increasingly used to reduce manual checking time and to provide immediate feedback in structured learning tasks. Zampirolli et al. (2021) reported that automated assessment in a large-scale introductory programming course supported continuous assessment through immediate and automatic feedback, and the classes that adopted the approach achieved higher pass rates than those that did not. Although their context focused on programming education, the study demonstrates how automated assessment can efficiently evaluate structured student outputs at scale while still supporting instructional decision-making. This supports the inclusion of an automated assessment and grading engine in A.I.M.S. for objective items generated through the platform's quiz workflow, where multiple-choice responses can be scored automatically and presented to teachers for review.</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rsidP="00682ADB">
      <w:pPr>
        <w:spacing w:after="0" w:line="480" w:lineRule="auto"/>
        <w:ind w:firstLine="720"/>
        <w:jc w:val="both"/>
      </w:pPr>
      <w:r>
        <w:rPr>
          <w:rFonts w:ascii="Times New Roman" w:hAnsi="Times New Roman" w:cs="Times New Roman"/>
          <w:sz w:val="24"/>
          <w:szCs w:val="24"/>
        </w:rPr>
        <w:t>At the same time, the use of AI in educational assessment must be framed carefully in terms of validity, scope, and oversight. Gardner et al. (2021) argued that AI-enabled educational assessment should be examined critically in relation to efficacy and validity rather than treated as an unconditional replacement for human judgment. Likewise, Ouyang et al. (2023), in a systematic review of AI-driven educational assessment in STEM education, showed that automated assessment has become a sustained area of research across formative and summative contexts. Taken together, these studies support a teacher-validation model for A.I.M.S., in which automation is applied to objective-response workflows while teachers retain responsibility for reviewing results and manually evaluating subjective or essay-based responses.</w:t>
      </w:r>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rsidP="00682ADB">
      <w:pPr>
        <w:spacing w:after="0" w:line="480" w:lineRule="auto"/>
        <w:ind w:firstLine="720"/>
        <w:jc w:val="both"/>
      </w:pPr>
      <w:r>
        <w:rPr>
          <w:rFonts w:ascii="Times New Roman" w:hAnsi="Times New Roman" w:cs="Times New Roman"/>
          <w:sz w:val="24"/>
          <w:szCs w:val="24"/>
        </w:rPr>
        <w:t>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in which objective quiz items can be scored automatically while teachers retain control over scoring criteria and manual evaluation for subjective responses within realistic implementation constraints in Philippine public schools.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Hegde et al. (2024) provided additional empirical support for this approach by showing that underperforming students improved after tailored remediation that incorporated quizzes, assignments, and focused review strategies following the identification of learning deficiencies. In the context of A.I.M.S., the proposed dynamic remedial quiz generator applies this principle by using identified learning gaps to support the drafting of targeted remedial assessment items for teacher-reviewed intervention and re-assessment.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 Toti et al. (2023) further demonstrated that students in a mastery learning framework can prove mastery of individual units over multiple attempts, showing how progression can be tied to demonstrated competence rather than one-time completion. These principles provide the pedagogical basis for the proposed mastery-based learning module in A.I.M.S., where progression controls are used as a system design mechanism to enforce competency-based sequencing.</w:t>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support the rationale for linking learner progression in A.I.M.S. to demonstrated mastery and structured remediation, even though the platform's specific lock and override controls remain part of the system's implementation design.</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Simon et al., 2025), while AI-Powered Quiz Generator with instructor validation and approval controls reduces the cognitive and administrative burden of assessment creation through validated neural and LLM-based generation methods together with quality review requirements for educational deployment (Bulathwela et al., 2023; Alamoudi et al., 2025; Gorgun &amp; Bulut, 2024). Automated assessment and grading engine supporting teacher validation is supported by literature showing that automated assessment can provide immediate feedback and scalable evaluation in structured tasks, while broader reviews of AI-enabled assessment emphasize validity and human oversight in educational use (Zampirolli et al., 2021; Gardner et al., 2021; Ouyang et al., 2023). Dynamic remedial quiz generator for targeted student intervention is supported by literature on corrective feedback, targeted remediation, and structured intervention cycles aligned with identified learning gaps (Persky &amp; Hughes, 2022; Hegde et al., 2024; Jumao-as et al., 2025). Finally, Mastery-based learning module with configurable progression locks is pedagogically grounded in mastery learning literature that emphasizes criterion-referenced progression, repeated attempts, corrective feedback, and remediation before advancement (Persky &amp; Hughes, 2022; Toti et al., 2023; Jumao-as et al., 2025).</w:t>
      </w:r>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w:t>
      </w:r>
      <w:r>
        <w:rPr>
          <w:rFonts w:ascii="Times New Roman" w:hAnsi="Times New Roman" w:cs="Times New Roman"/>
          <w:sz w:val="24"/>
          <w:szCs w:val="24"/>
        </w:rPr>
        <w:lastRenderedPageBreak/>
        <w:t>integrating access management, automated assessment, targeted remediation, and mastery-based progression into a single, scalable educa</w:t>
      </w:r>
      <w:bookmarkStart w:id="2" w:name="_GoBack"/>
      <w:bookmarkEnd w:id="2"/>
      <w:r>
        <w:rPr>
          <w:rFonts w:ascii="Times New Roman" w:hAnsi="Times New Roman" w:cs="Times New Roman"/>
          <w:sz w:val="24"/>
          <w:szCs w:val="24"/>
        </w:rPr>
        <w:t>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A Systematic Review of AI-Driven Educational Assessment in STEM Education - Ouyang et al. (2023)</w:t>
            </w:r>
            <w:proofErr w:type="spellEnd"/>
            <w:r w:rsidRPr="00EE70AC">
              <w:rPr>
                <w:rFonts w:ascii="Times New Roman" w:eastAsia="Times New Roman" w:hAnsi="Times New Roman" w:cs="Times New Roman"/>
                <w:sz w:val="24"/>
                <w:szCs w:val="24"/>
              </w:rPr>
            </w:r>
            <w:proofErr w:type="spellStart"/>
            <w:r w:rsidRPr="00EE70AC">
              <w:rPr>
                <w:rFonts w:ascii="Times New Roman" w:eastAsia="Times New Roman" w:hAnsi="Times New Roman" w:cs="Times New Roman"/>
                <w:sz w:val="24"/>
                <w:szCs w:val="24"/>
              </w:rPr>
            </w:r>
            <w:proofErr w:type="spellEnd"/>
            <w:r w:rsidRPr="00EE70AC">
              <w:rPr>
                <w:rFonts w:ascii="Times New Roman" w:eastAsia="Times New Roman" w:hAnsi="Times New Roman" w:cs="Times New Roman"/>
                <w:sz w:val="24"/>
                <w:szCs w:val="24"/>
              </w:rPr>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An Experience of Automated Assessment in a Large-Scale Introduction Programming Course - Zampirolli et al. (2021)</w:t>
            </w:r>
            <w:proofErr w:type="spellStart"/>
            <w:r w:rsidRPr="00EE70AC">
              <w:rPr>
                <w:rFonts w:ascii="Times New Roman" w:eastAsia="Times New Roman" w:hAnsi="Times New Roman" w:cs="Times New Roman"/>
                <w:sz w:val="24"/>
                <w:szCs w:val="24"/>
              </w:rPr>
            </w:r>
            <w:proofErr w:type="spellEnd"/>
            <w:r w:rsidRPr="00EE70AC">
              <w:rPr>
                <w:rFonts w:ascii="Times New Roman" w:eastAsia="Times New Roman" w:hAnsi="Times New Roman" w:cs="Times New Roman"/>
                <w:sz w:val="24"/>
                <w:szCs w:val="24"/>
              </w:rPr>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AI-Powered Quiz Generator with instructor validation and approval controls (Bulathwela et al., 2023; Alamoudi et al., 2025), Automated assessment and grading engine supporting teacher validation (Zampirolli et al., 2021; Ouyang et al., 2023; Colegado, 2025), Dynamic remedial quiz generator for targeted student intervention (Persky &amp; Hughes, 2022; Jumao-as et al., 2025), and Mastery-based learning module with configurable progression locks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t>
      </w:r>
      <w:r>
        <w:rPr>
          <w:rFonts w:ascii="Times New Roman" w:hAnsi="Times New Roman" w:cs="Times New Roman"/>
          <w:sz w:val="24"/>
          <w:szCs w:val="24"/>
        </w:rPr>
        <w:lastRenderedPageBreak/>
        <w:t>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t>Dahal, N., &amp; Manandhar, N. (2024). The reality of e-learning: Success and failure of learning management system. Advances in Mobile Learning Educational Research, 4(1), 903–910. https://doi.org/10.25082/amler.2024.01.001</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Zampirolli, F. A., Borovina Josko, J. M., Venero, M. L. F., Kobayashi, G., Fraga, F. J., Goya, D., &amp; Savegnago, H. R. (2021). An experience of automated assessment in a large-scale introduction programming course. Computer Applications in Engineering Education, 29(5), 1284-1299. https://doi.org/10.1002/cae.22385</w:t>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r>
        <w:rPr>
          <w:rFonts w:ascii="Times New Roman" w:hAnsi="Times New Roman"/>
          <w:i/>
          <w:sz w:val="24"/>
        </w:rPr>
      </w:r>
      <w:r>
        <w:rPr>
          <w:rFonts w:ascii="Times New Roman" w:hAnsi="Times New Roman"/>
          <w:sz w:val="24"/>
        </w:rPr>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Ouyang, F., Dinh, T. A., &amp; Xu, W. (2023). A systematic review of AI-driven educational assessment in STEM education. Journal for STEM Education Research, 6(3), 383-426. https://doi.org/10.1007/s41979-023-00112-x</w:t>
      </w:r>
      <w:proofErr w:type="spellStart"/>
      <w:r>
        <w:rPr>
          <w:rFonts w:ascii="Times New Roman" w:hAnsi="Times New Roman"/>
          <w:sz w:val="24"/>
        </w:rPr>
      </w:r>
      <w:proofErr w:type="spellEnd"/>
      <w:r>
        <w:rPr>
          <w:rFonts w:ascii="Times New Roman" w:hAnsi="Times New Roman"/>
          <w:sz w:val="24"/>
        </w:rPr>
      </w:r>
      <w:r>
        <w:rPr>
          <w:rFonts w:ascii="Times New Roman" w:hAnsi="Times New Roman"/>
          <w:i/>
          <w:sz w:val="24"/>
        </w:rPr>
      </w:r>
      <w:r>
        <w:rPr>
          <w:rFonts w:ascii="Times New Roman" w:hAnsi="Times New Roman"/>
          <w:sz w:val="24"/>
        </w:rPr>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r>
    </w:p>
    <w:p>
      <w:pPr/>
      <w:r>
        <w:t>Gorgun, G., &amp; Bulut, O. (2024). Exploring quality criteria and evaluation methods in automated question generation: A comprehensive survey. Education and Information Technologies, 29(18), 24111-24142. https://doi.org/10.1007/s10639-024-12771-3</w:t>
      </w:r>
    </w:p>
    <w:p>
      <w:pPr/>
      <w:r>
        <w:t>Hegde, S. V., Shetty, P. P., Senthilkumar, M., Kandimalla, R., Bernhardt, G. V., Pinto, J. R. T., Mahadevan, R., Kotian, S. M., &amp; Rashmi, K. S. (2024). Bridging knowledge gaps: Impact of remedial classes on first-year medical students in biochemistry - a cross-sectional study. BMC Medical Education, 24(1), Article 1375. https://doi.org/10.1186/s12909-024-06243-y</w:t>
      </w:r>
    </w:p>
    <w:p>
      <w:pPr/>
      <w:r>
        <w:t>Simon, P. D., Jiang, J., Fryer, L. K., King, R. B., &amp; Frondozo, C. E. (2025). An assessment of learning management system use in higher education: Perspectives from a comprehensive sample of teachers and students. Technology, Knowledge and Learning, 30(2), 741-767. https://doi.org/10.1007/s10758-024-09734-5</w:t>
      </w:r>
    </w:p>
    <w:p>
      <w:pPr/>
      <w:r>
        <w:t>Toti, G., Chen, G., &amp; Gonzalez, S. (2023). Teaching CS1 with a mastery learning framework: Impact on students' learning and engagement. In Proceedings of the 2023 Conference on Innovation and Technology in Computer Science Education V. 1 (pp. 540-546). https://doi.org/10.1145/3587102.3588844</w:t>
      </w:r>
    </w:p>
    <w:p>
      <w:pPr/>
      <w:r>
        <w:t>Gardner, J., O'Leary, M., &amp; Yuan, L. (2021). Artificial intelligence in educational assessment: 'Breakthrough? Or buncombe and ballyhoo?' Journal of Computer Assisted Learning, 37(5), 1207-1216. https://doi.org/10.1111/jcal.12577</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47" w:rsidRDefault="00882047">
      <w:pPr>
        <w:spacing w:after="0" w:line="240" w:lineRule="auto"/>
      </w:pPr>
      <w:r>
        <w:separator/>
      </w:r>
    </w:p>
  </w:endnote>
  <w:endnote w:type="continuationSeparator" w:id="0">
    <w:p w:rsidR="00882047" w:rsidRDefault="0088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A3FA96DF-7364-4732-8DE1-E200FB2D9AD8}"/>
    <w:embedBold r:id="rId2" w:fontKey="{D9592A23-281B-4F55-A9A6-6E175029F8BC}"/>
    <w:embedItalic r:id="rId3" w:fontKey="{818D3634-CC39-4AEF-B9C0-49C2783D82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55D4FB-F356-4E2A-B932-03417E36B964}"/>
  </w:font>
  <w:font w:name="Segoe UI Symbol">
    <w:panose1 w:val="020B0502040204020203"/>
    <w:charset w:val="00"/>
    <w:family w:val="swiss"/>
    <w:pitch w:val="variable"/>
    <w:sig w:usb0="800001E3" w:usb1="1200FFEF" w:usb2="00040000" w:usb3="00000000" w:csb0="00000001" w:csb1="00000000"/>
    <w:embedRegular r:id="rId5" w:fontKey="{5CDCA032-86F1-4F3E-B786-7F16790C15FF}"/>
  </w:font>
  <w:font w:name="Cambria">
    <w:panose1 w:val="02040503050406030204"/>
    <w:charset w:val="00"/>
    <w:family w:val="roman"/>
    <w:pitch w:val="variable"/>
    <w:sig w:usb0="E00006FF" w:usb1="420024FF" w:usb2="02000000" w:usb3="00000000" w:csb0="0000019F" w:csb1="00000000"/>
    <w:embedRegular r:id="rId6" w:fontKey="{9D047510-EA60-4A8F-BAE6-416589365F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82ADB">
      <w:rPr>
        <w:rFonts w:ascii="Times New Roman" w:eastAsia="Times New Roman" w:hAnsi="Times New Roman" w:cs="Times New Roman"/>
        <w:noProof/>
        <w:color w:val="000000"/>
        <w:sz w:val="24"/>
        <w:szCs w:val="24"/>
      </w:rPr>
      <w:t>19</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47" w:rsidRDefault="00882047">
      <w:pPr>
        <w:spacing w:after="0" w:line="240" w:lineRule="auto"/>
      </w:pPr>
      <w:r>
        <w:separator/>
      </w:r>
    </w:p>
  </w:footnote>
  <w:footnote w:type="continuationSeparator" w:id="0">
    <w:p w:rsidR="00882047" w:rsidRDefault="0088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A01FF"/>
    <w:rsid w:val="00431069"/>
    <w:rsid w:val="004F3D34"/>
    <w:rsid w:val="00500450"/>
    <w:rsid w:val="00554D81"/>
    <w:rsid w:val="00570319"/>
    <w:rsid w:val="00645005"/>
    <w:rsid w:val="00682ADB"/>
    <w:rsid w:val="006B65FA"/>
    <w:rsid w:val="00846432"/>
    <w:rsid w:val="00882047"/>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7CFC"/>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24</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12</cp:revision>
  <cp:lastPrinted>2026-03-30T09:37:00Z</cp:lastPrinted>
  <dcterms:created xsi:type="dcterms:W3CDTF">2026-03-30T07:38:00Z</dcterms:created>
  <dcterms:modified xsi:type="dcterms:W3CDTF">2026-05-08T06:45:00Z</dcterms:modified>
</cp:coreProperties>
</file>