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Teachers.</w:t>
      </w:r>
      <w:r w:rsidRPr="002A01FF">
        <w:rPr>
          <w:rFonts w:ascii="Times New Roman" w:eastAsia="Times New Roman" w:hAnsi="Times New Roman" w:cs="Times New Roman"/>
          <w:sz w:val="24"/>
          <w:szCs w:val="24"/>
        </w:rPr>
        <w:t xml:space="preserve"> The system helps teachers centralize learning modules, collect task submissions with recorded timestamps, and streamline assessment through instructor-validated AI-assisted quiz drafting and automated scoring. It also supports timely </w:t>
      </w:r>
      <w:r w:rsidRPr="002A01FF">
        <w:rPr>
          <w:rFonts w:ascii="Times New Roman" w:eastAsia="Times New Roman" w:hAnsi="Times New Roman" w:cs="Times New Roman"/>
          <w:sz w:val="24"/>
          <w:szCs w:val="24"/>
        </w:rPr>
        <w:lastRenderedPageBreak/>
        <w:t>intervention by surfacing mastery status and pending remedial activities for teacher review and approval, thereby reducing administrative workload and allowing teachers to focus more on instruction delivery and learner support.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Definition of Terms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AI-Powered Quiz Generator.</w:t>
      </w:r>
      <w:r w:rsidRPr="002A01FF">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sidRPr="002A01FF">
        <w:rPr>
          <w:rFonts w:ascii="Times New Roman" w:eastAsia="Times New Roman" w:hAnsi="Times New Roman" w:cs="Times New Roman"/>
          <w:color w:val="000000"/>
          <w:sz w:val="24"/>
          <w:szCs w:val="24"/>
        </w:rPr>
        <w:t>Bulathwela</w:t>
      </w:r>
      <w:proofErr w:type="spellEnd"/>
      <w:r w:rsidRPr="002A01FF">
        <w:rPr>
          <w:rFonts w:ascii="Times New Roman" w:eastAsia="Times New Roman" w:hAnsi="Times New Roman" w:cs="Times New Roman"/>
          <w:color w:val="000000"/>
          <w:sz w:val="24"/>
          <w:szCs w:val="24"/>
        </w:rPr>
        <w:t xml:space="preserve"> et al., 2023).</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Automated Assessment and Grading Engine.</w:t>
      </w:r>
      <w:r w:rsidRPr="002A01FF">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sidRPr="002A01FF">
        <w:rPr>
          <w:rFonts w:ascii="Times New Roman" w:eastAsia="Times New Roman" w:hAnsi="Times New Roman" w:cs="Times New Roman"/>
          <w:color w:val="000000"/>
          <w:sz w:val="24"/>
          <w:szCs w:val="24"/>
        </w:rPr>
        <w:t>Sanampudi</w:t>
      </w:r>
      <w:proofErr w:type="spellEnd"/>
      <w:r w:rsidRPr="002A01FF">
        <w:rPr>
          <w:rFonts w:ascii="Times New Roman" w:eastAsia="Times New Roman" w:hAnsi="Times New Roman" w:cs="Times New Roman"/>
          <w:color w:val="000000"/>
          <w:sz w:val="24"/>
          <w:szCs w:val="24"/>
        </w:rPr>
        <w:t>,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2A01FF">
        <w:rPr>
          <w:rFonts w:ascii="Times New Roman" w:hAnsi="Times New Roman" w:cs="Times New Roman"/>
          <w:sz w:val="24"/>
          <w:szCs w:val="24"/>
        </w:rPr>
        <w:t>computes</w:t>
      </w:r>
      <w:proofErr w:type="gramEnd"/>
      <w:r w:rsidRPr="002A01FF">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BB1C01"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Centralized Learning Portal. </w:t>
      </w:r>
      <w:r w:rsidRPr="00BB1C01">
        <w:rPr>
          <w:rFonts w:ascii="Times New Roman" w:eastAsia="Times New Roman" w:hAnsi="Times New Roman" w:cs="Times New Roman"/>
          <w:bCs/>
          <w:color w:val="000000"/>
          <w:sz w:val="24"/>
          <w:szCs w:val="24"/>
        </w:rPr>
        <w:t>Contextually, this is an integrated online platform within a learning management system that supports structured content delivery and access to learning resources, as well as course activities and assessments (Dahal &amp; Manandhar, 2024).</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lastRenderedPageBreak/>
        <w:t>Mastery-Based Learning Module.</w:t>
      </w:r>
      <w:r w:rsidRPr="002A01FF">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w:t>
      </w:r>
      <w:proofErr w:type="spellStart"/>
      <w:r w:rsidRPr="002A01FF">
        <w:rPr>
          <w:rFonts w:ascii="Times New Roman" w:eastAsia="Times New Roman" w:hAnsi="Times New Roman" w:cs="Times New Roman"/>
          <w:color w:val="000000"/>
          <w:sz w:val="24"/>
          <w:szCs w:val="24"/>
        </w:rPr>
        <w:t>Persky</w:t>
      </w:r>
      <w:proofErr w:type="spellEnd"/>
      <w:r w:rsidRPr="002A01FF">
        <w:rPr>
          <w:rFonts w:ascii="Times New Roman" w:eastAsia="Times New Roman" w:hAnsi="Times New Roman" w:cs="Times New Roman"/>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Dynamic Remedial Quiz Generator. </w:t>
      </w:r>
      <w:r w:rsidRPr="002A01FF">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2A01FF">
        <w:rPr>
          <w:rFonts w:ascii="Times New Roman" w:eastAsia="Times New Roman" w:hAnsi="Times New Roman" w:cs="Times New Roman"/>
          <w:bCs/>
          <w:color w:val="000000"/>
          <w:sz w:val="24"/>
          <w:szCs w:val="24"/>
        </w:rPr>
        <w:t>Persky</w:t>
      </w:r>
      <w:proofErr w:type="spellEnd"/>
      <w:r w:rsidRPr="002A01FF">
        <w:rPr>
          <w:rFonts w:ascii="Times New Roman" w:eastAsia="Times New Roman" w:hAnsi="Times New Roman" w:cs="Times New Roman"/>
          <w:bCs/>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ISO/IEC 25010.</w:t>
      </w:r>
      <w:r w:rsidRPr="002A01FF">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with Material Distribution and Task Submission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is a foundational component of modern learning management systems (LMS), providing a structured environment for organizing and delivering course resources. Dahal and Manandhar (2024) described an LMS as a digital platform for developing, delivering, and managing courses, learning resources, learning activities, and assessments, and noted that LMS adoption can improve content deliverability, accessibility, and retrievability. They also emphasized that treating an LMS solely as a storage system can limit its capacity to support meaningful learning, which highlights the importance of designing portals that support both resource management and active learning workflows.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noting that teachers are often compelled to distribute printed modules manually—an </w:t>
      </w:r>
      <w:r>
        <w:rPr>
          <w:rFonts w:ascii="Times New Roman" w:hAnsi="Times New Roman" w:cs="Times New Roman"/>
          <w:sz w:val="24"/>
          <w:szCs w:val="24"/>
        </w:rPr>
        <w:lastRenderedPageBreak/>
        <w:t>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Web-based module management systems address access and distribution constraints by enabling instructors to upload, categorize, and update learning materials electronically, while students retrieve resources through a standardized platform. Simon et al. (2025) further observed that learning management systems function as active environments for information dissemination, assignments, feedback, and classroom management, which supports the role of A.I.M.S. as both a content access and submission platform. Dahal and Manandhar (2024) highlighted that resources and learning management and content management are key success factors for LMS implementation, while also identifying assessment and learning engagement as areas that can fail when platforms are used only as passive storage. Accordingly, the centralized learning portal in A.I.M.S. should be designed not only for material distribution but also to support task submission and teacher-managed assessment workflows in a manner that remains practical for real-world classroom implementation.</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and Approval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Recent research has further validated the use of large language models (LLMs) in automated question generation for educational domains. Gorgun and Bulut (2024) noted that although automated question generation can efficiently produce large volumes of assessment items, gaps in standardized quality evaluation and usability review still hinder seamless educational deployment. Alamoudi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w:t>
      </w:r>
      <w:r>
        <w:rPr>
          <w:rFonts w:ascii="Times New Roman" w:hAnsi="Times New Roman" w:cs="Times New Roman"/>
          <w:sz w:val="24"/>
          <w:szCs w:val="24"/>
        </w:rPr>
        <w:lastRenderedPageBreak/>
        <w:t>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landscape, the integration of learning management systems in public schools is often constrained by contextual and operational barriers. Balase and Paglinawan (2025) reported that teachers recognized the DepEd Learning Management System as beneficial for digital instruction and engagement, but also emphasized persistent barriers such as unstable connectivity, limited technical support, digital literacy gaps, and workload management concerns. These constraints underscore the importance of designing A.I.M.S. features to streamline teacher workflows and reduce additional administrative overhead, while maintaining instructor validation controls to preserve pedagogical integrity.</w:t>
      </w:r>
    </w:p>
    <w:p w:rsidR="00F5418A" w:rsidRDefault="00F5418A" w:rsidP="00682ADB">
      <w:pPr>
        <w:spacing w:after="0" w:line="480" w:lineRule="auto"/>
      </w:pPr>
    </w:p>
    <w:p w:rsidR="00F5418A" w:rsidRDefault="00846432" w:rsidP="00682ADB">
      <w:pPr>
        <w:spacing w:after="0" w:line="480" w:lineRule="auto"/>
      </w:pPr>
      <w:r>
        <w:rPr>
          <w:rFonts w:ascii="Times New Roman" w:hAnsi="Times New Roman"/>
          <w:b/>
          <w:sz w:val="24"/>
          <w:szCs w:val="24"/>
        </w:rPr>
        <w:t>Automated Assessment and Grading Engine Supporting Teacher Validation</w:t>
      </w:r>
    </w:p>
    <w:p w:rsidR="00F5418A" w:rsidRDefault="00846432" w:rsidP="00682ADB">
      <w:pPr>
        <w:spacing w:after="0" w:line="480" w:lineRule="auto"/>
        <w:ind w:firstLine="720"/>
        <w:jc w:val="both"/>
      </w:pPr>
      <w:r>
        <w:rPr>
          <w:rFonts w:ascii="Times New Roman" w:hAnsi="Times New Roman" w:cs="Times New Roman"/>
          <w:sz w:val="24"/>
          <w:szCs w:val="24"/>
        </w:rPr>
        <w:t xml:space="preserve">Automated assessment systems are increasingly used to reduce manual checking time and to provide immediate feedback in structured learning tasks. Zampirolli et al. (2021) reported that automated assessment in a large-scale introductory programming course supported continuous assessment through immediate and automatic feedback, and the classes that adopted the approach achieved higher pass rates than those that did not. Although their context focused on programming education, the study demonstrates how automated assessment can efficiently evaluate structured student outputs at scale while still supporting instructional decision-making. This supports the inclusion of an automated assessment and grading engine in A.I.M.S. for objective items generated through the </w:t>
      </w:r>
      <w:r>
        <w:rPr>
          <w:rFonts w:ascii="Times New Roman" w:hAnsi="Times New Roman" w:cs="Times New Roman"/>
          <w:sz w:val="24"/>
          <w:szCs w:val="24"/>
        </w:rPr>
        <w:lastRenderedPageBreak/>
        <w:t>platform's quiz workflow, where multiple-choice responses can be scored automatically and presented to teachers for review.</w:t>
      </w:r>
    </w:p>
    <w:p w:rsidR="00F5418A" w:rsidRDefault="00846432" w:rsidP="00682ADB">
      <w:pPr>
        <w:spacing w:after="0" w:line="480" w:lineRule="auto"/>
        <w:ind w:firstLine="720"/>
        <w:jc w:val="both"/>
      </w:pPr>
      <w:r>
        <w:rPr>
          <w:rFonts w:ascii="Times New Roman" w:hAnsi="Times New Roman" w:cs="Times New Roman"/>
          <w:sz w:val="24"/>
          <w:szCs w:val="24"/>
        </w:rPr>
        <w:t>At the same time, the use of AI in educational assessment must be framed carefully in terms of validity, scope, and oversight. Gardner et al. (2021) argued that AI-enabled educational assessment should be examined critically in relation to efficacy and validity rather than treated as an unconditional replacement for human judgment. Likewise, Ouyang et al. (2023), in a systematic review of AI-driven educational assessment in STEM education, showed that automated assessment has become a sustained area of research across formative and summative contexts. Taken together, these studies support a teacher-validation model for A.I.M.S., in which automation is applied to objective-response workflows while teachers retain responsibility for reviewing results and manually evaluating subjective or essay-based responses.</w:t>
      </w:r>
    </w:p>
    <w:p w:rsidR="00F5418A" w:rsidRDefault="00846432" w:rsidP="00682ADB">
      <w:pPr>
        <w:spacing w:after="0" w:line="480" w:lineRule="auto"/>
        <w:ind w:firstLine="720"/>
        <w:jc w:val="both"/>
      </w:pPr>
      <w:r>
        <w:rPr>
          <w:rFonts w:ascii="Times New Roman" w:hAnsi="Times New Roman" w:cs="Times New Roman"/>
          <w:sz w:val="24"/>
          <w:szCs w:val="24"/>
        </w:rPr>
        <w:t xml:space="preserve">In Philippine educational settings, persistent infrastructural and capacity constraints continue to shape how digital tools are adopted and sustained. Colegado (2025), in a scoping review of digital innovations across Philippine K-12 science education, reported that teachers relied heavily on accessible platforms and that learning management systems such as Google Classroom and Quipper were used to provide structure for content delivery and assessment. However, the review emphasized ongoing challenges including poor connectivity, unequal device access, and limited teacher preparation, particularly in rural and underserved contexts. These findings highlight the need for A.I.M.S. to support structured assessment workflows in which objective quiz items can be scored automatically </w:t>
      </w:r>
      <w:r>
        <w:rPr>
          <w:rFonts w:ascii="Times New Roman" w:hAnsi="Times New Roman" w:cs="Times New Roman"/>
          <w:sz w:val="24"/>
          <w:szCs w:val="24"/>
        </w:rPr>
        <w:lastRenderedPageBreak/>
        <w:t>while teachers retain control over scoring criteria and manual evaluation for subjective responses within realistic implementation constraints in Philippine public schools.</w:t>
      </w:r>
    </w:p>
    <w:p w:rsidR="00F5418A" w:rsidRDefault="00F5418A" w:rsidP="00682ADB">
      <w:pPr>
        <w:spacing w:after="0" w:line="480" w:lineRule="auto"/>
      </w:pPr>
    </w:p>
    <w:p w:rsidR="00570319" w:rsidRPr="00682ADB" w:rsidRDefault="00A161C0" w:rsidP="00682ADB">
      <w:pPr>
        <w:spacing w:line="480" w:lineRule="auto"/>
        <w:rPr>
          <w:rFonts w:ascii="Times New Roman" w:hAnsi="Times New Roman" w:cs="Times New Roman"/>
          <w:sz w:val="24"/>
          <w:szCs w:val="24"/>
        </w:rPr>
      </w:pPr>
      <w:r w:rsidRPr="00682ADB">
        <w:rPr>
          <w:rFonts w:ascii="Times New Roman" w:hAnsi="Times New Roman" w:cs="Times New Roman"/>
          <w:b/>
          <w:sz w:val="24"/>
          <w:szCs w:val="24"/>
        </w:rPr>
        <w:t>Dynamic Remedial Quiz Generator for Targeted Student Intervention</w:t>
      </w:r>
    </w:p>
    <w:p w:rsidR="00570319" w:rsidRDefault="00A161C0" w:rsidP="00682ADB">
      <w:pPr>
        <w:spacing w:line="480" w:lineRule="auto"/>
        <w:ind w:firstLine="720"/>
        <w:jc w:val="both"/>
        <w:rPr>
          <w:rFonts w:ascii="Times New Roman" w:hAnsi="Times New Roman" w:cs="Times New Roman"/>
          <w:sz w:val="24"/>
          <w:szCs w:val="24"/>
        </w:rPr>
      </w:pPr>
      <w:r w:rsidRPr="00682ADB">
        <w:rPr>
          <w:rFonts w:ascii="Times New Roman" w:hAnsi="Times New Roman" w:cs="Times New Roman"/>
          <w:sz w:val="24"/>
          <w:szCs w:val="24"/>
        </w:rPr>
        <w:t>Dynamic remediation is a core element of mastery-oriented instruction, which requires systematic corrective feedback mechanisms and structured opportunities for retesting when learners do not meet performance thresholds (Persky &amp; Hughes, 2022). Hegde et al. (2024) provided additional empirical support for this approach by showing that underperforming students improved after tailored remediation that incorporated quizzes, assignments, and focused review strategies following the identification of learning deficiencies. In the context of A.I.M.S., the proposed dynamic remedial quiz generator applies this principle by using identified learning gaps to support the drafting of targeted remedial assessment items for teacher-reviewed intervention and re-assessment. Local evidence further affirms that structured remediation interventions can yield measurable learning gains in Philippine public school contexts (Jumao-as et al., 2025).</w:t>
      </w:r>
    </w:p>
    <w:p w:rsidR="00682ADB" w:rsidRPr="00682ADB" w:rsidRDefault="00682ADB" w:rsidP="00682ADB">
      <w:pPr>
        <w:spacing w:line="480" w:lineRule="auto"/>
        <w:ind w:firstLine="720"/>
        <w:rPr>
          <w:rFonts w:ascii="Times New Roman" w:hAnsi="Times New Roman" w:cs="Times New Roman"/>
          <w:sz w:val="24"/>
          <w:szCs w:val="24"/>
        </w:rPr>
      </w:pPr>
    </w:p>
    <w:p w:rsidR="00F5418A" w:rsidRDefault="00846432" w:rsidP="00682ADB">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with Configurable Progression Locks</w:t>
      </w:r>
    </w:p>
    <w:p w:rsidR="00F5418A" w:rsidRDefault="00846432" w:rsidP="00682ADB">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Persky and Hughes (2022) conducted a comprehensive review of </w:t>
      </w:r>
      <w:r>
        <w:rPr>
          <w:rFonts w:ascii="Times New Roman" w:hAnsi="Times New Roman" w:cs="Times New Roman"/>
          <w:sz w:val="24"/>
          <w:szCs w:val="24"/>
        </w:rPr>
        <w:lastRenderedPageBreak/>
        <w:t>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 Toti et al. (2023) further demonstrated that students in a mastery learning framework can prove mastery of individual units over multiple attempts, showing how progression can be tied to demonstrated competence rather than one-time completion. These principles provide the pedagogical basis for the proposed mastery-based learning module in A.I.M.S., where progression controls are used as a system design mechanism to enforce competency-based sequencing.</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the sustained implementation of digital learning platforms is influenced by practical constraints that limit teachers' capacity to manage additional system processes. Balase and Paglinawan (2025) highlighted barriers to effective LMS integration in public schools, including unstable connectivity, limited technical support, digital literacy gaps, and workload management concerns. Accordingly, the mastery-based learning module in A.I.M.S. should be designed to support competency-based progression in a way that minimizes added teacher workload while maintaining clear performance thresholds and instructor oversight.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Empirical evidence from the Philippine basic education context further affirms the value of structured remediation in supporting learner progression. Jumao-as et al. (2025) investigated the effectiveness of a reading remediation program implemented in a DepEd elementary school in Ozamiz City, Misamis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support the rationale for linking learner progression in A.I.M.S. to demonstrated mastery and structured remediation, even though the platform's specific lock and override controls remain part of the system's implementation design.</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reviewed literature collectively demonstrates that each of the five core features of A.I.M.S. is grounded in a robust and growing body of empirical evidence. Centralized learning portal with material distribution and task submission supports structured access to learning materials and course activities in public school environments (Dahal &amp; Manandhar, 2024; Bustillo &amp; Aguilos, 2022; Simon et al., 2025), while AI-Powered Quiz Generator with instructor validation and approval controls reduces the cognitive and administrative burden of assessment creation through validated neural and LLM-based generation methods together with quality review requirements for educational deployment </w:t>
      </w:r>
      <w:r>
        <w:rPr>
          <w:rFonts w:ascii="Times New Roman" w:hAnsi="Times New Roman" w:cs="Times New Roman"/>
          <w:sz w:val="24"/>
          <w:szCs w:val="24"/>
        </w:rPr>
        <w:lastRenderedPageBreak/>
        <w:t>(Bulathwela et al., 2023; Alamoudi et al., 2025; Gorgun &amp; Bulut, 2024). Automated assessment and grading engine supporting teacher validation is supported by literature showing that automated assessment can provide immediate feedback and scalable evaluation in structured tasks, while broader reviews of AI-enabled assessment emphasize validity and human oversight in educational use (Zampirolli et al., 2021; Gardner et al., 2021; Ouyang et al., 2023). Dynamic remedial quiz generator for targeted student intervention is supported by literature on corrective feedback, targeted remediation, and structured intervention cycles aligned with identified learning gaps (Persky &amp; Hughes, 2022; Hegde et al., 2024; Jumao-as et al., 2025). Finally, Mastery-based learning module with configurable progression locks is pedagogically grounded in mastery learning literature that emphasizes criterion-referenced progression, repeated attempts, corrective feedback, and remediation before advancement (Persky &amp; Hughes, 2022; Toti et al., 2023;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 consistent theme across both foreign and local literature is that the effectiveness of educational technology solutions depends not only on technical capability but also on contextual fit with teacher workflows and implementation constraints. Local evidence highlights persistent barriers such as unstable connectivity, limited technical support, digital literacy gaps, and workload management concerns that shape platform adoption in Philippine public schools (Balase &amp; Paglinawan, 2025; Colegado, 2025). Across the reviewed studies, core functionalities such as centralized content distribution, AI-assisted assessment creation, automated grading, targeted remediation, and mastery-based progression are commonly investigated as distinct solutions. This indicates a continuing </w:t>
      </w:r>
      <w:r>
        <w:rPr>
          <w:rFonts w:ascii="Times New Roman" w:hAnsi="Times New Roman" w:cs="Times New Roman"/>
          <w:sz w:val="24"/>
          <w:szCs w:val="24"/>
        </w:rPr>
        <w:lastRenderedPageBreak/>
        <w:t>research and design opportunity to integrate the complete instructional and assessment cycle within a single, teacher-centered platform, as envisioned 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 integrating access management, automated assessment, targeted remediation, and mastery-based progression into a single, scalable educational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Quizzes</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Progression</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The reality of e-Learning: Success and failure of learning management system – Dahal &amp; Manandhar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A Systematic Review of AI-Driven Educational Assessment in STEM Education - Ouyang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An Experience of Automated Assessment in a Large-Scale Introduction Programming Course - Zampirolli et al.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matrix of related literature and studies above presents a comparative overview of existing systems and studies in relation to the five core technical features of the proposed A.I.M.S. platform. The studies mapped in the matrix span both foreign and local literature, covering Centralized learning portal with material distribution and task submission (Dahal &amp; Manandhar, 2024; Bustillo &amp; Aguilos, 2022), AI-Powered Quiz Generator with </w:t>
      </w:r>
      <w:r>
        <w:rPr>
          <w:rFonts w:ascii="Times New Roman" w:hAnsi="Times New Roman" w:cs="Times New Roman"/>
          <w:sz w:val="24"/>
          <w:szCs w:val="24"/>
        </w:rPr>
        <w:lastRenderedPageBreak/>
        <w:t>instructor validation and approval controls (Bulathwela et al., 2023; Alamoudi et al., 2025), Automated assessment and grading engine supporting teacher validation (Zampirolli et al., 2021; Ouyang et al., 2023; Colegado, 2025), Dynamic remedial quiz generator for targeted student intervention (Persky &amp; Hughes, 2022; Jumao-as et al., 2025), and Mastery-based learning module with configurable progression locks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synthesis reveals that while the individual features addressed by A.I.M.S. are present in existing systems and have been independently validated in the literature, no single platform currently integrates all five functionalities: Centralized learning portal with material distribution and task submission, AI-Powered Quiz Generator with instructor validation and approval controls, Automated assessment and grading engine supporting teacher validation, Dynamic remedial quiz generator for targeted student intervention, and Mastery-based learning module with configurable progression locks,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Pr="00BB1C01" w:rsidRDefault="00431069">
      <w:pPr>
        <w:spacing w:after="0" w:line="480" w:lineRule="auto"/>
        <w:ind w:left="720" w:hanging="720"/>
        <w:jc w:val="both"/>
        <w:rPr>
          <w:rFonts w:ascii="Times New Roman" w:hAnsi="Times New Roman" w:cs="Times New Roman"/>
          <w:sz w:val="24"/>
          <w:szCs w:val="24"/>
        </w:rPr>
      </w:pPr>
      <w:r w:rsidRPr="00BB1C01">
        <w:rPr>
          <w:rFonts w:ascii="Times New Roman" w:hAnsi="Times New Roman" w:cs="Times New Roman"/>
          <w:sz w:val="24"/>
          <w:szCs w:val="24"/>
        </w:rPr>
        <w:t xml:space="preserve">Dahal, N., &amp; Manandhar, N. (2024). The reality of e-learning: Success and failure of learning management system. Advances in Mobile Learning Educational Research, 4(1), 903–910. </w:t>
      </w:r>
      <w:hyperlink r:id="rId8" w:history="1">
        <w:r w:rsidR="00BB1C01" w:rsidRPr="008D0F6D">
          <w:rPr>
            <w:rStyle w:val="Hyperlink"/>
            <w:rFonts w:ascii="Times New Roman" w:hAnsi="Times New Roman" w:cs="Times New Roman"/>
            <w:sz w:val="24"/>
            <w:szCs w:val="24"/>
          </w:rPr>
          <w:t>https://doi.org/10.25082/amler.2024.01.001</w:t>
        </w:r>
      </w:hyperlink>
      <w:r w:rsidR="00BB1C01">
        <w:rPr>
          <w:rFonts w:ascii="Times New Roman" w:hAnsi="Times New Roman" w:cs="Times New Roman"/>
          <w:sz w:val="24"/>
          <w:szCs w:val="24"/>
        </w:rPr>
        <w:t xml:space="preserve"> </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Zampirolli</w:t>
      </w:r>
      <w:proofErr w:type="spellEnd"/>
      <w:r>
        <w:rPr>
          <w:rFonts w:ascii="Times New Roman" w:hAnsi="Times New Roman"/>
          <w:sz w:val="24"/>
        </w:rPr>
        <w:t xml:space="preserve">, F. A., </w:t>
      </w:r>
      <w:proofErr w:type="spellStart"/>
      <w:r>
        <w:rPr>
          <w:rFonts w:ascii="Times New Roman" w:hAnsi="Times New Roman"/>
          <w:sz w:val="24"/>
        </w:rPr>
        <w:t>Borovina</w:t>
      </w:r>
      <w:proofErr w:type="spellEnd"/>
      <w:r>
        <w:rPr>
          <w:rFonts w:ascii="Times New Roman" w:hAnsi="Times New Roman"/>
          <w:sz w:val="24"/>
        </w:rPr>
        <w:t xml:space="preserve"> </w:t>
      </w:r>
      <w:proofErr w:type="spellStart"/>
      <w:r>
        <w:rPr>
          <w:rFonts w:ascii="Times New Roman" w:hAnsi="Times New Roman"/>
          <w:sz w:val="24"/>
        </w:rPr>
        <w:t>Josko</w:t>
      </w:r>
      <w:proofErr w:type="spellEnd"/>
      <w:r>
        <w:rPr>
          <w:rFonts w:ascii="Times New Roman" w:hAnsi="Times New Roman"/>
          <w:sz w:val="24"/>
        </w:rPr>
        <w:t xml:space="preserve">, J. M., </w:t>
      </w:r>
      <w:proofErr w:type="spellStart"/>
      <w:r>
        <w:rPr>
          <w:rFonts w:ascii="Times New Roman" w:hAnsi="Times New Roman"/>
          <w:sz w:val="24"/>
        </w:rPr>
        <w:t>Venero</w:t>
      </w:r>
      <w:proofErr w:type="spellEnd"/>
      <w:r>
        <w:rPr>
          <w:rFonts w:ascii="Times New Roman" w:hAnsi="Times New Roman"/>
          <w:sz w:val="24"/>
        </w:rPr>
        <w:t xml:space="preserve">, M. L. F., Kobayashi, G., </w:t>
      </w:r>
      <w:proofErr w:type="spellStart"/>
      <w:r>
        <w:rPr>
          <w:rFonts w:ascii="Times New Roman" w:hAnsi="Times New Roman"/>
          <w:sz w:val="24"/>
        </w:rPr>
        <w:t>Fraga</w:t>
      </w:r>
      <w:proofErr w:type="spellEnd"/>
      <w:r>
        <w:rPr>
          <w:rFonts w:ascii="Times New Roman" w:hAnsi="Times New Roman"/>
          <w:sz w:val="24"/>
        </w:rPr>
        <w:t xml:space="preserve">, F. J., Goya, D., &amp; </w:t>
      </w:r>
      <w:proofErr w:type="spellStart"/>
      <w:r>
        <w:rPr>
          <w:rFonts w:ascii="Times New Roman" w:hAnsi="Times New Roman"/>
          <w:sz w:val="24"/>
        </w:rPr>
        <w:t>Savegnago</w:t>
      </w:r>
      <w:proofErr w:type="spellEnd"/>
      <w:r>
        <w:rPr>
          <w:rFonts w:ascii="Times New Roman" w:hAnsi="Times New Roman"/>
          <w:sz w:val="24"/>
        </w:rPr>
        <w:t xml:space="preserve">, H. R. (2021). An experience of automated assessment in a large-scale introduction programming course. Computer Applications in Engineering Education, 29(5), 1284-1299. </w:t>
      </w:r>
      <w:hyperlink r:id="rId12" w:history="1">
        <w:r w:rsidR="00BB1C01" w:rsidRPr="008D0F6D">
          <w:rPr>
            <w:rStyle w:val="Hyperlink"/>
            <w:rFonts w:ascii="Times New Roman" w:hAnsi="Times New Roman"/>
            <w:sz w:val="24"/>
          </w:rPr>
          <w:t>https://doi.org/10.1002/cae.22385</w:t>
        </w:r>
      </w:hyperlink>
      <w:r w:rsidR="00BB1C01">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3"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4"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5"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6"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lastRenderedPageBreak/>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7"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t>Ouyang, F., Dinh, T. A., &amp; Xu, W. (2023). A systematic review of AI-driven educational assessment in STEM education. Journal for STEM Education Research, 6(3), 383-426. https://doi.org/10.1007/s41979-023-00112-x</w:t>
      </w:r>
    </w:p>
    <w:p w:rsidR="00530332" w:rsidRDefault="00284D1F">
      <w:r>
        <w:t>Gorgun, G., &amp; Bulut, O. (2024). Exploring quality criteria and evaluation methods in automated question generation: A comprehensive survey. Education and Information Technologies, 29(18), 24111-24142. https://d</w:t>
      </w:r>
      <w:r>
        <w:t>oi.org/10.1007/s10639-024-12771-3</w:t>
      </w:r>
    </w:p>
    <w:p w:rsidR="00530332" w:rsidRDefault="00284D1F">
      <w:r>
        <w:t>Hegde, S. V., Shetty, P. P., Senthilkumar, M., Kandimalla, R., Bernhardt, G. V., Pinto, J. R. T., Mahadevan, R., Kotian, S. M., &amp; Rashmi, K. S. (2024). Bridging knowledge gaps: Impact of remedial classes on first-year medi</w:t>
      </w:r>
      <w:r>
        <w:t>cal students in biochemistry - a cross-sectional study. BMC Medical Education, 24(1), Article 1375. https://doi.org/10.1186/s12909-024-06243-y</w:t>
      </w:r>
    </w:p>
    <w:p w:rsidR="00530332" w:rsidRDefault="00284D1F">
      <w:r>
        <w:t xml:space="preserve">Simon, P. D., Jiang, J., Fryer, L. K., King, R. B., &amp; Frondozo, C. E. (2025). An assessment of learning </w:t>
      </w:r>
      <w:bookmarkStart w:id="2" w:name="_GoBack"/>
      <w:r>
        <w:t>managemen</w:t>
      </w:r>
      <w:r>
        <w:t xml:space="preserve">t system use in higher education: Perspectives from a comprehensive sample of </w:t>
      </w:r>
      <w:bookmarkEnd w:id="2"/>
      <w:r>
        <w:t>teachers and students. Technology, Knowledge and Learning, 30(2), 741-767. https://doi.org/10.1007/s10758-024-09734-5</w:t>
      </w:r>
    </w:p>
    <w:p w:rsidR="00530332" w:rsidRDefault="00284D1F">
      <w:r>
        <w:t>Toti, G., Chen, G., &amp; Gonzalez, S. (2023). Teaching CS1 with</w:t>
      </w:r>
      <w:r>
        <w:t xml:space="preserve"> a mastery learning framework: Impact on students' learning and engagement. In Proceedings of the 2023 Conference on Innovation and Technology in Computer Science Education V. 1 (pp. 540-546). https://doi.org/10.1145/3587102.3588844</w:t>
      </w:r>
    </w:p>
    <w:p w:rsidR="00530332" w:rsidRDefault="00284D1F">
      <w:r>
        <w:t>Gardner, J., O'Leary, M</w:t>
      </w:r>
      <w:r>
        <w:t>., &amp; Yuan, L. (2021). Artificial intelligence in educational assessment: 'Breakthrough? Or buncombe and ballyhoo?' Journal of Computer Assisted Learning, 37(5), 1207-1216. https://doi.org/10.1111/jcal.12577</w:t>
      </w:r>
    </w:p>
    <w:sectPr w:rsidR="00530332">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4D1F" w:rsidRDefault="00284D1F">
      <w:pPr>
        <w:spacing w:after="0" w:line="240" w:lineRule="auto"/>
      </w:pPr>
      <w:r>
        <w:separator/>
      </w:r>
    </w:p>
  </w:endnote>
  <w:endnote w:type="continuationSeparator" w:id="0">
    <w:p w:rsidR="00284D1F" w:rsidRDefault="00284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B98DAB79-115A-46C2-ABA3-1D6C88CE61F8}"/>
    <w:embedBold r:id="rId2" w:fontKey="{6B35AB2F-AF23-4BEE-96F6-C593C3D483BD}"/>
    <w:embedItalic r:id="rId3" w:fontKey="{F588FB9D-7684-4C55-9C17-8C1C1CB3A29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D8877FC-CE74-4B76-AC03-0C9A80D18CB2}"/>
  </w:font>
  <w:font w:name="Segoe UI Symbol">
    <w:panose1 w:val="020B0502040204020203"/>
    <w:charset w:val="00"/>
    <w:family w:val="swiss"/>
    <w:pitch w:val="variable"/>
    <w:sig w:usb0="800001E3" w:usb1="1200FFEF" w:usb2="00040000" w:usb3="00000000" w:csb0="00000001" w:csb1="00000000"/>
    <w:embedRegular r:id="rId5" w:fontKey="{8BDBF273-F673-4082-B832-D974A460D2C8}"/>
  </w:font>
  <w:font w:name="Cambria">
    <w:panose1 w:val="02040503050406030204"/>
    <w:charset w:val="00"/>
    <w:family w:val="roman"/>
    <w:pitch w:val="variable"/>
    <w:sig w:usb0="E00006FF" w:usb1="420024FF" w:usb2="02000000" w:usb3="00000000" w:csb0="0000019F" w:csb1="00000000"/>
    <w:embedRegular r:id="rId6" w:fontKey="{F8190920-6D3E-40FB-AAAE-74BFB6C85DD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BB1C01">
      <w:rPr>
        <w:rFonts w:ascii="Times New Roman" w:eastAsia="Times New Roman" w:hAnsi="Times New Roman" w:cs="Times New Roman"/>
        <w:noProof/>
        <w:color w:val="000000"/>
        <w:sz w:val="24"/>
        <w:szCs w:val="24"/>
      </w:rPr>
      <w:t>25</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4D1F" w:rsidRDefault="00284D1F">
      <w:pPr>
        <w:spacing w:after="0" w:line="240" w:lineRule="auto"/>
      </w:pPr>
      <w:r>
        <w:separator/>
      </w:r>
    </w:p>
  </w:footnote>
  <w:footnote w:type="continuationSeparator" w:id="0">
    <w:p w:rsidR="00284D1F" w:rsidRDefault="00284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27776D"/>
    <w:rsid w:val="00284D1F"/>
    <w:rsid w:val="002A01FF"/>
    <w:rsid w:val="00431069"/>
    <w:rsid w:val="004F3D34"/>
    <w:rsid w:val="00500450"/>
    <w:rsid w:val="00530332"/>
    <w:rsid w:val="00554D81"/>
    <w:rsid w:val="00570319"/>
    <w:rsid w:val="00645005"/>
    <w:rsid w:val="00682ADB"/>
    <w:rsid w:val="006B65FA"/>
    <w:rsid w:val="00846432"/>
    <w:rsid w:val="00882047"/>
    <w:rsid w:val="00A161C0"/>
    <w:rsid w:val="00AD014B"/>
    <w:rsid w:val="00BB1C01"/>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C0BBF"/>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5082/amler.2024.01.001" TargetMode="External"/><Relationship Id="rId13" Type="http://schemas.openxmlformats.org/officeDocument/2006/relationships/hyperlink" Target="https://www.iso.org/standard/35733.html"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doi.org/10.1002/cae.22385" TargetMode="External"/><Relationship Id="rId17" Type="http://schemas.openxmlformats.org/officeDocument/2006/relationships/hyperlink" Target="https://doi.org/10.5688/ajpe8906" TargetMode="External"/><Relationship Id="rId2" Type="http://schemas.openxmlformats.org/officeDocument/2006/relationships/settings" Target="settings.xml"/><Relationship Id="rId16" Type="http://schemas.openxmlformats.org/officeDocument/2006/relationships/hyperlink" Target="https://doi.org/10.3390/higheredu4020017"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20944/preprints202601.0448.v1"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9734/ajess/2025/v51i6200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25</Pages>
  <Words>5380</Words>
  <Characters>30667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13</cp:revision>
  <cp:lastPrinted>2026-03-30T09:37:00Z</cp:lastPrinted>
  <dcterms:created xsi:type="dcterms:W3CDTF">2026-03-30T07:38:00Z</dcterms:created>
  <dcterms:modified xsi:type="dcterms:W3CDTF">2026-05-08T08:44:00Z</dcterms:modified>
</cp:coreProperties>
</file>