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w:t>
      </w:r>
      <w:r w:rsidRPr="002A01FF">
        <w:rPr>
          <w:rFonts w:ascii="Times New Roman" w:eastAsia="Times New Roman" w:hAnsi="Times New Roman" w:cs="Times New Roman"/>
          <w:sz w:val="24"/>
          <w:szCs w:val="24"/>
        </w:rPr>
        <w:t xml:space="preserve"> The system helps teachers centralize learning modules, collect task submissions with recorded timestamps, and streamline assessment through instructor-validated AI-assisted quiz drafting and automated scoring. It also supports timely </w:t>
      </w:r>
      <w:r w:rsidRPr="002A01FF">
        <w:rPr>
          <w:rFonts w:ascii="Times New Roman" w:eastAsia="Times New Roman" w:hAnsi="Times New Roman" w:cs="Times New Roman"/>
          <w:sz w:val="24"/>
          <w:szCs w:val="24"/>
        </w:rPr>
        <w:lastRenderedPageBreak/>
        <w:t>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w:t>
      </w:r>
      <w:r w:rsidRPr="002A01FF">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sidRPr="002A01FF">
        <w:rPr>
          <w:rFonts w:ascii="Times New Roman" w:eastAsia="Times New Roman" w:hAnsi="Times New Roman" w:cs="Times New Roman"/>
          <w:color w:val="000000"/>
          <w:sz w:val="24"/>
          <w:szCs w:val="24"/>
        </w:rPr>
        <w:t>Sanampudi</w:t>
      </w:r>
      <w:proofErr w:type="spellEnd"/>
      <w:r w:rsidRPr="002A01FF">
        <w:rPr>
          <w:rFonts w:ascii="Times New Roman" w:eastAsia="Times New Roman" w:hAnsi="Times New Roman" w:cs="Times New Roman"/>
          <w:color w:val="000000"/>
          <w:sz w:val="24"/>
          <w:szCs w:val="24"/>
        </w:rPr>
        <w:t>,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Centralized Learning Portal.</w:t>
      </w:r>
      <w:r w:rsidRPr="002A01FF">
        <w:rPr>
          <w:rFonts w:ascii="Times New Roman" w:eastAsia="Times New Roman" w:hAnsi="Times New Roman" w:cs="Times New Roman"/>
          <w:color w:val="000000"/>
          <w:sz w:val="24"/>
          <w:szCs w:val="24"/>
        </w:rPr>
        <w:t xml:space="preserve"> Contextually, this is an integrated online platform within a learning management system that organizes and distributes educational materials, enabling structured access to course content and resources (Bradley, 2021).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w:t>
      </w:r>
      <w:r w:rsidRPr="002A01FF">
        <w:rPr>
          <w:rFonts w:ascii="Times New Roman" w:eastAsia="Times New Roman" w:hAnsi="Times New Roman" w:cs="Times New Roman"/>
          <w:color w:val="000000"/>
          <w:sz w:val="24"/>
          <w:szCs w:val="24"/>
        </w:rPr>
        <w:lastRenderedPageBreak/>
        <w:t>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has emerged as a foundational component of modern learning management systems (LMS). According to Bradley (2021), LMS platforms that incorporate organized digital repositories significantly improve accessibility to course materials, enable structured content delivery, and reduce the administrative burden associated with manual material distribution. Bradley’s study, which analyzed LMS use in online instruction across multiple institutional contexts, found that educators who deployed centralized module repositories reported improved learner engagement and more efficient course management compared to traditional paper-based methods, establishing digital repository integration as a key determinant of instructional effectiveness in web-based learning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access content through a standardized platform at any time and from any location (Bradley, 2021). Such systems support detailed usage tracking, allowing educators to monitor student access patterns and identify learners who have not engaged with assigned materials—a feature especially valuable for early identification of at-risk students. Taken together, the evidence from Bradley (2021) and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affirms that a centralized learning portal within A.I.M.S. is both pedagogically justified and contextually responsive to the documented access challenges in Philippine educational settings.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educational landscape, the administrative challenges of assessment preparation compound existing systemic difficulties.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identified that teachers in Philippine public schools face substantial workload </w:t>
      </w:r>
      <w:r>
        <w:rPr>
          <w:rFonts w:ascii="Times New Roman" w:hAnsi="Times New Roman" w:cs="Times New Roman"/>
          <w:sz w:val="24"/>
          <w:szCs w:val="24"/>
        </w:rPr>
        <w:lastRenderedPageBreak/>
        <w:t>burdens in preparing, distributing, and scoring assessments manually, particularly in large classes where formative evaluation is frequent. This workload significantly limits teachers’ capacity to focus on instructional quality and individualized student support. The integration of an AI-powered quiz generator with instructor validation controls in A.I.M.S. directly addresses this challenge by automating item generation while preserving teacher oversight—ensuring both efficiency and educational integrity throughout the assessment pipeline.</w:t>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 xml:space="preserve">Automated grading systems have gained considerable traction in educational technology research, with evidence demonstrating their effectiveness in evaluating student-authored responses with consistency, speed, and scalability. Ramesh and </w:t>
      </w:r>
      <w:proofErr w:type="spellStart"/>
      <w:r>
        <w:rPr>
          <w:rFonts w:ascii="Times New Roman" w:hAnsi="Times New Roman" w:cs="Times New Roman"/>
          <w:sz w:val="24"/>
          <w:szCs w:val="24"/>
        </w:rPr>
        <w:t>Sanampudi</w:t>
      </w:r>
      <w:proofErr w:type="spellEnd"/>
      <w:r>
        <w:rPr>
          <w:rFonts w:ascii="Times New Roman" w:hAnsi="Times New Roman" w:cs="Times New Roman"/>
          <w:sz w:val="24"/>
          <w:szCs w:val="24"/>
        </w:rPr>
        <w:t xml:space="preserve"> (2022) conducted a comprehensive systematic literature review of automated essay scoring (AES) systems, analyzing over one hundred studies to evaluate the accuracy, scalability, and applicability of machine learning and natural language processing approaches to written response grading. Their review found that deep learning models—particularly transformer architectures such as BERT—achieved high agreement with human raters on holistic scoring, and that AES systems substantially reduced grading time while maintaining measurement validity, making them practical for large-scale educational deployment.</w:t>
      </w:r>
    </w:p>
    <w:p w:rsidR="00F5418A" w:rsidRDefault="00846432" w:rsidP="00682ADB">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lastRenderedPageBreak/>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rsidP="00682ADB">
      <w:pPr>
        <w:spacing w:after="0" w:line="480" w:lineRule="auto"/>
        <w:ind w:firstLine="720"/>
        <w:jc w:val="both"/>
      </w:pPr>
      <w:r>
        <w:rPr>
          <w:rFonts w:ascii="Times New Roman" w:hAnsi="Times New Roman" w:cs="Times New Roman"/>
          <w:sz w:val="24"/>
          <w:szCs w:val="24"/>
        </w:rPr>
        <w:t xml:space="preserve">In Philippine educational settings, where teachers routinely manage large classes, the time consumed by manual evaluation substantially limits the instructional time available for lesson preparation and individualized student support. </w:t>
      </w:r>
      <w:proofErr w:type="spellStart"/>
      <w:r>
        <w:rPr>
          <w:rFonts w:ascii="Times New Roman" w:hAnsi="Times New Roman" w:cs="Times New Roman"/>
          <w:sz w:val="24"/>
          <w:szCs w:val="24"/>
        </w:rPr>
        <w:t>Colegado</w:t>
      </w:r>
      <w:proofErr w:type="spellEnd"/>
      <w:r>
        <w:rPr>
          <w:rFonts w:ascii="Times New Roman" w:hAnsi="Times New Roman" w:cs="Times New Roman"/>
          <w:sz w:val="24"/>
          <w:szCs w:val="24"/>
        </w:rPr>
        <w:t xml:space="preserve"> (2025), in a scoping review of digital innovations across Philippine K–12 science education, found that while learning management systems such as Google Classroom and </w:t>
      </w:r>
      <w:proofErr w:type="spellStart"/>
      <w:r>
        <w:rPr>
          <w:rFonts w:ascii="Times New Roman" w:hAnsi="Times New Roman" w:cs="Times New Roman"/>
          <w:sz w:val="24"/>
          <w:szCs w:val="24"/>
        </w:rPr>
        <w:t>Quipper</w:t>
      </w:r>
      <w:proofErr w:type="spellEnd"/>
      <w:r>
        <w:rPr>
          <w:rFonts w:ascii="Times New Roman" w:hAnsi="Times New Roman" w:cs="Times New Roman"/>
          <w:sz w:val="24"/>
          <w:szCs w:val="24"/>
        </w:rPr>
        <w:t xml:space="preserve"> enabled structured content delivery and assessment monitoring, their consistent use was largely confined to urban and better-resourced schools. In underserved and rural settings, inadequate infrastructure and limited teacher preparation continued to constrain the effectiveness of digital assessment tools, leaving many educators without scalable means to evaluate student work systematically. These findings highlight a persistent gap in Philippine educational technology adoption and directly motivate the inclusion of an automated assessment and grading engine with customizable rubrics in A.I.M.S., which enables teachers to administer and evaluate assessments at scale while maintaining </w:t>
      </w:r>
      <w:r>
        <w:rPr>
          <w:rFonts w:ascii="Times New Roman" w:hAnsi="Times New Roman" w:cs="Times New Roman"/>
          <w:sz w:val="24"/>
          <w:szCs w:val="24"/>
        </w:rPr>
        <w:lastRenderedPageBreak/>
        <w:t>instructional quality through teacher-defined, adaptable scoring criteria—regardless of school resource level.</w:t>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In the context of A.I.M.S., a dynamic remedial quiz generator operationalizes this principle by producing targeted remedial assessment items based on identified learning gaps to support timely intervention and mastery attainment.</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w:t>
      </w:r>
      <w:r>
        <w:rPr>
          <w:rFonts w:ascii="Times New Roman" w:hAnsi="Times New Roman" w:cs="Times New Roman"/>
          <w:sz w:val="24"/>
          <w:szCs w:val="24"/>
        </w:rPr>
        <w:lastRenderedPageBreak/>
        <w:t>feedback mechanisms, and structured opportunities for retesting—components that are directly embedded in the mastery-based learning module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class size constraints and limited instructional support time make individualized intervention challenging to sustain manually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Paglinawan</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Balase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Paglinawan’s</w:t>
      </w:r>
      <w:proofErr w:type="spellEnd"/>
      <w:r>
        <w:rPr>
          <w:rFonts w:ascii="Times New Roman" w:hAnsi="Times New Roman" w:cs="Times New Roman"/>
          <w:sz w:val="24"/>
          <w:szCs w:val="24"/>
        </w:rPr>
        <w:t xml:space="preserve"> study on educational technology adoption barriers in Philippine public schools found that while adaptive learning tools hold significant institutional promise, their effective implementation requires structural integration with automated performance tracking and decision-support systems that do not depend on continuous teacher mediation. The A.I.M.S. mastery-based learning module addresses this implementation gap by automating progression decisions and corresponding remediation delivery, reducing dependency on teacher-initiated intervention while maintaining pedagogical consistency and competency-based rigor across diverse classroom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 xml:space="preserve">-as et al. (2025) investigated the effectiveness of a reading remediation program implemented in a </w:t>
      </w:r>
      <w:proofErr w:type="spellStart"/>
      <w:r>
        <w:rPr>
          <w:rFonts w:ascii="Times New Roman" w:hAnsi="Times New Roman" w:cs="Times New Roman"/>
          <w:sz w:val="24"/>
          <w:szCs w:val="24"/>
        </w:rPr>
        <w:t>DepEd</w:t>
      </w:r>
      <w:proofErr w:type="spellEnd"/>
      <w:r>
        <w:rPr>
          <w:rFonts w:ascii="Times New Roman" w:hAnsi="Times New Roman" w:cs="Times New Roman"/>
          <w:sz w:val="24"/>
          <w:szCs w:val="24"/>
        </w:rPr>
        <w:t xml:space="preserve"> elementary school in </w:t>
      </w:r>
      <w:proofErr w:type="spellStart"/>
      <w:r>
        <w:rPr>
          <w:rFonts w:ascii="Times New Roman" w:hAnsi="Times New Roman" w:cs="Times New Roman"/>
          <w:sz w:val="24"/>
          <w:szCs w:val="24"/>
        </w:rPr>
        <w:t>Ozamiz</w:t>
      </w:r>
      <w:proofErr w:type="spellEnd"/>
      <w:r>
        <w:rPr>
          <w:rFonts w:ascii="Times New Roman" w:hAnsi="Times New Roman" w:cs="Times New Roman"/>
          <w:sz w:val="24"/>
          <w:szCs w:val="24"/>
        </w:rPr>
        <w:t xml:space="preserve"> City, </w:t>
      </w:r>
      <w:proofErr w:type="spellStart"/>
      <w:r>
        <w:rPr>
          <w:rFonts w:ascii="Times New Roman" w:hAnsi="Times New Roman" w:cs="Times New Roman"/>
          <w:sz w:val="24"/>
          <w:szCs w:val="24"/>
        </w:rPr>
        <w:t>Misamis</w:t>
      </w:r>
      <w:proofErr w:type="spellEnd"/>
      <w:r>
        <w:rPr>
          <w:rFonts w:ascii="Times New Roman" w:hAnsi="Times New Roman" w:cs="Times New Roman"/>
          <w:sz w:val="24"/>
          <w:szCs w:val="24"/>
        </w:rPr>
        <w:t xml:space="preserve">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w:t>
      </w:r>
      <w:r>
        <w:rPr>
          <w:rFonts w:ascii="Times New Roman" w:hAnsi="Times New Roman" w:cs="Times New Roman"/>
          <w:sz w:val="24"/>
          <w:szCs w:val="24"/>
        </w:rPr>
        <w:lastRenderedPageBreak/>
        <w:t>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reviewed literature collectively demonstrates that each of the five core features of A.I.M.S. is grounded in a robust and growing body of empirical evidence. Centralized learning portal with material distribution and task submission addresses persistent access and distribution inequities in public school environments (Bradley, 2021; Bustillo &amp; Aguilos, 2022), while AI-Powered Quiz Generator with instructor validation and approval controls reduces the cognitive and administrative burden of assessment creation through validated neural and LLM-based generation methods (Bulathwela et al., 2023; Alamoudi et al., 2025). Automated assessment and grading engine supporting teacher validation promotes evaluation consistency and scalability through machine learning and rubric-guided assessment (Ramesh &amp; Sanampudi, 2022; García-Varela et al., 2025). Dynamic remedial quiz generator for targeted student intervention supports targeted intervention by operationalizing corrective feedback and structured remediation cycles aligned with identified learning gaps (Persky &amp; Hughes, 2022; Jumao-as et al., 2025). Finally, Mastery-based learning module with configurable progression locks provides structured, </w:t>
      </w:r>
      <w:r>
        <w:rPr>
          <w:rFonts w:ascii="Times New Roman" w:hAnsi="Times New Roman" w:cs="Times New Roman"/>
          <w:sz w:val="24"/>
          <w:szCs w:val="24"/>
        </w:rPr>
        <w:lastRenderedPageBreak/>
        <w:t>competency-based progression that supports mastery attainment and reduces learning gaps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greatest educational impact is achieved when multiple intelligent features are integrated cohesively within a single platform, rather than deployed as fragmented standalone tools that create workflow disruptions and adoption resistance (Balase &amp; Paglinawan, 2025; Colegado, 2025). The reviewed studies demonstrate that while individual functionalities such as AI-assisted quiz generation, automated assessment, targeted remediation, and mastery-based progression have been validated in isolation, no existing platform fully integrates the complete instructional and assessment cycle in the manner envisioned in A.I.M.S. This integration gap represents the primary research and design opportunity that the present study addresses.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w:t>
      </w:r>
      <w:r>
        <w:rPr>
          <w:rFonts w:ascii="Times New Roman" w:hAnsi="Times New Roman" w:cs="Times New Roman"/>
          <w:sz w:val="24"/>
          <w:szCs w:val="24"/>
        </w:rPr>
        <w:lastRenderedPageBreak/>
        <w:t>integrating access management, automated assessment, targeted remediation, and mastery-based progression into a single, scalable educa</w:t>
      </w:r>
      <w:bookmarkStart w:id="2" w:name="_GoBack"/>
      <w:bookmarkEnd w:id="2"/>
      <w:r>
        <w:rPr>
          <w:rFonts w:ascii="Times New Roman" w:hAnsi="Times New Roman" w:cs="Times New Roman"/>
          <w:sz w:val="24"/>
          <w:szCs w:val="24"/>
        </w:rPr>
        <w:t>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 with material distribution and task submission</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 with instructor validation and approval controls</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assessment and grading engine supporting teacher validation</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 generator for targeted student intervention</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learning module with configurable progression locks</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Learning Management System (LMS) Use with Online Instruction – Bradley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(Bradley, 2021; Bustillo &amp; Aguilos, 2022), AI-Powered Quiz Generator with instructor validation and approval controls (Bulathwela et al., 2023; Alamoudi et al., 2025), Automated assessment and grading engine supporting teacher validation (Ramesh &amp; Sanampudi, 2022; García-Varela et al., 2025), Dynamic remedial quiz generator for targeted student intervention (Persky &amp; Hughes, 2022; Jumao-as et al., 2025), and Mastery-based learning module with configurable progression locks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 Centralized learning portal with material distribution and task submission, AI-Powered Quiz Generator </w:t>
      </w:r>
      <w:r>
        <w:rPr>
          <w:rFonts w:ascii="Times New Roman" w:hAnsi="Times New Roman" w:cs="Times New Roman"/>
          <w:sz w:val="24"/>
          <w:szCs w:val="24"/>
        </w:rPr>
        <w:lastRenderedPageBreak/>
        <w:t>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Bradley, V. M. (2021). Learning management system (LMS) use with online instruction. </w:t>
      </w:r>
      <w:r>
        <w:rPr>
          <w:rFonts w:ascii="Times New Roman" w:hAnsi="Times New Roman"/>
          <w:i/>
          <w:sz w:val="24"/>
        </w:rPr>
        <w:t>International Journal of Technology in Education, 4</w:t>
      </w:r>
      <w:r>
        <w:rPr>
          <w:rFonts w:ascii="Times New Roman" w:hAnsi="Times New Roman"/>
          <w:sz w:val="24"/>
        </w:rPr>
        <w:t xml:space="preserve">(1), 68–92. </w:t>
      </w:r>
      <w:hyperlink r:id="rId8" w:history="1">
        <w:r w:rsidR="00E24956" w:rsidRPr="005D1928">
          <w:rPr>
            <w:rStyle w:val="Hyperlink"/>
            <w:rFonts w:ascii="Times New Roman" w:hAnsi="Times New Roman"/>
            <w:sz w:val="24"/>
          </w:rPr>
          <w:t>https://doi.org/10.46328/ijte.36</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2"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3"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4"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5"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6"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lastRenderedPageBreak/>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17"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sectPr w:rsidR="00645005">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047" w:rsidRDefault="00882047">
      <w:pPr>
        <w:spacing w:after="0" w:line="240" w:lineRule="auto"/>
      </w:pPr>
      <w:r>
        <w:separator/>
      </w:r>
    </w:p>
  </w:endnote>
  <w:endnote w:type="continuationSeparator" w:id="0">
    <w:p w:rsidR="00882047" w:rsidRDefault="0088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A3FA96DF-7364-4732-8DE1-E200FB2D9AD8}"/>
    <w:embedBold r:id="rId2" w:fontKey="{D9592A23-281B-4F55-A9A6-6E175029F8BC}"/>
    <w:embedItalic r:id="rId3" w:fontKey="{818D3634-CC39-4AEF-B9C0-49C2783D82E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A55D4FB-F356-4E2A-B932-03417E36B964}"/>
  </w:font>
  <w:font w:name="Segoe UI Symbol">
    <w:panose1 w:val="020B0502040204020203"/>
    <w:charset w:val="00"/>
    <w:family w:val="swiss"/>
    <w:pitch w:val="variable"/>
    <w:sig w:usb0="800001E3" w:usb1="1200FFEF" w:usb2="00040000" w:usb3="00000000" w:csb0="00000001" w:csb1="00000000"/>
    <w:embedRegular r:id="rId5" w:fontKey="{5CDCA032-86F1-4F3E-B786-7F16790C15FF}"/>
  </w:font>
  <w:font w:name="Cambria">
    <w:panose1 w:val="02040503050406030204"/>
    <w:charset w:val="00"/>
    <w:family w:val="roman"/>
    <w:pitch w:val="variable"/>
    <w:sig w:usb0="E00006FF" w:usb1="420024FF" w:usb2="02000000" w:usb3="00000000" w:csb0="0000019F" w:csb1="00000000"/>
    <w:embedRegular r:id="rId6" w:fontKey="{9D047510-EA60-4A8F-BAE6-416589365FD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82ADB">
      <w:rPr>
        <w:rFonts w:ascii="Times New Roman" w:eastAsia="Times New Roman" w:hAnsi="Times New Roman" w:cs="Times New Roman"/>
        <w:noProof/>
        <w:color w:val="000000"/>
        <w:sz w:val="24"/>
        <w:szCs w:val="24"/>
      </w:rPr>
      <w:t>19</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047" w:rsidRDefault="00882047">
      <w:pPr>
        <w:spacing w:after="0" w:line="240" w:lineRule="auto"/>
      </w:pPr>
      <w:r>
        <w:separator/>
      </w:r>
    </w:p>
  </w:footnote>
  <w:footnote w:type="continuationSeparator" w:id="0">
    <w:p w:rsidR="00882047" w:rsidRDefault="00882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A01FF"/>
    <w:rsid w:val="00431069"/>
    <w:rsid w:val="004F3D34"/>
    <w:rsid w:val="00500450"/>
    <w:rsid w:val="00554D81"/>
    <w:rsid w:val="00570319"/>
    <w:rsid w:val="00645005"/>
    <w:rsid w:val="00682ADB"/>
    <w:rsid w:val="006B65FA"/>
    <w:rsid w:val="00846432"/>
    <w:rsid w:val="00882047"/>
    <w:rsid w:val="00A161C0"/>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7CFC"/>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9734/ajess/2025/v51i6200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www.iso.org/standard/35733.html" TargetMode="External"/><Relationship Id="rId17" Type="http://schemas.openxmlformats.org/officeDocument/2006/relationships/hyperlink" Target="https://doi.org/10.1007/s10462-021-10068-2" TargetMode="External"/><Relationship Id="rId2" Type="http://schemas.openxmlformats.org/officeDocument/2006/relationships/settings" Target="settings.xml"/><Relationship Id="rId16" Type="http://schemas.openxmlformats.org/officeDocument/2006/relationships/hyperlink" Target="https://doi.org/10.5688/ajpe89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3390/higheredu4020017"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20944/preprints202601.0448.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24</Pages>
  <Words>4996</Words>
  <Characters>28483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12</cp:revision>
  <cp:lastPrinted>2026-03-30T09:37:00Z</cp:lastPrinted>
  <dcterms:created xsi:type="dcterms:W3CDTF">2026-03-30T07:38:00Z</dcterms:created>
  <dcterms:modified xsi:type="dcterms:W3CDTF">2026-05-08T06:45:00Z</dcterms:modified>
</cp:coreProperties>
</file>