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w:t>
      </w:r>
      <w:r w:rsidRPr="002A01FF">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Automated grading systems have gained considerable traction in educational technology research as a response to the time demands and consistency limitations of manual evaluation. Ramesh and Sanampudi (2022) presented a systematic literature review of automated essay scoring (AES) systems, synthesizing research on machine learning and natural language processing approaches for grading written responses and outlining key challenges for reliable deployment in educational contexts. This body of work supports the inclusion of an automated assessment and grading engine in A.I.M.S., particularly when paired with teacher validation mechanisms and rubric-guided scoring to align automated outputs with instructor expectations.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rsidP="00682ADB">
      <w:pPr>
        <w:spacing w:after="0" w:line="480" w:lineRule="auto"/>
        <w:ind w:firstLine="720"/>
        <w:jc w:val="both"/>
      </w:pPr>
      <w:r>
        <w:rPr>
          <w:rFonts w:ascii="Times New Roman" w:hAnsi="Times New Roman" w:cs="Times New Roman"/>
          <w:sz w:val="24"/>
          <w:szCs w:val="24"/>
        </w:rPr>
        <w:t>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and teacher-defined scoring criteria within realistic implementation constraints in Philippine public schools.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In the context of A.I.M.S., a dynamic remedial quiz generator operationalizes this principle by producing targeted remedial assessment items based on identified learning gaps to support timely intervention and mastery attainment.</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w:t>
      </w:r>
      <w:r>
        <w:rPr>
          <w:rFonts w:ascii="Times New Roman" w:hAnsi="Times New Roman" w:cs="Times New Roman"/>
          <w:sz w:val="24"/>
          <w:szCs w:val="24"/>
        </w:rPr>
        <w:lastRenderedPageBreak/>
        <w:t>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w:t>
      </w:r>
      <w:r>
        <w:rPr>
          <w:rFonts w:ascii="Times New Roman" w:hAnsi="Times New Roman" w:cs="Times New Roman"/>
          <w:sz w:val="24"/>
          <w:szCs w:val="24"/>
        </w:rPr>
        <w:lastRenderedPageBreak/>
        <w:t>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addresses persistent access and distribution inequities in public school environments (Bradley, 2021; Bustillo &amp; Aguilos, 2022), while AI-Powered Quiz Generator with instructor validation and approval controls reduces the cognitive and administrative burden of assessment creation through validated neural and LLM-based generation methods (Bulathwela et al., 2023; Alamoudi et al., 2025). Automated assessment and grading engine supporting teacher validation promotes evaluation consistency and scalability through machine learning and rubric-guided assessment (Ramesh &amp; Sanampudi, 2022; García-Varela et al., 2025). Dynamic remedial quiz generator for targeted student intervention supports targeted intervention by operationalizing corrective feedback and structured remediation cycles aligned with identified learning gaps (Persky &amp; Hughes, 2022; Jumao-as et al., 2025). Finally, Mastery-based learning module with configurable progression locks provides structured, </w:t>
      </w:r>
      <w:r>
        <w:rPr>
          <w:rFonts w:ascii="Times New Roman" w:hAnsi="Times New Roman" w:cs="Times New Roman"/>
          <w:sz w:val="24"/>
          <w:szCs w:val="24"/>
        </w:rPr>
        <w:lastRenderedPageBreak/>
        <w:t>competency-based progression that supports mastery attainment and reduces learning gaps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(Bradley, 2021; Bustillo &amp; Aguilos, 2022), AI-Powered Quiz Generator with instructor validation and approval controls (Bulathwela et al., 2023; Alamoudi et al., 2025), Automated assessment and grading engine supporting teacher validation (Ramesh &amp; Sanampudi, 2022; García-Varela et al.,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