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the scoring of objective quiz items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0E6E49"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 xml:space="preserve">Teachers. </w:t>
      </w:r>
      <w:r w:rsidRPr="000E6E49">
        <w:rPr>
          <w:rFonts w:ascii="Times New Roman" w:eastAsia="Times New Roman" w:hAnsi="Times New Roman" w:cs="Times New Roman"/>
          <w:bCs/>
          <w:sz w:val="24"/>
          <w:szCs w:val="24"/>
        </w:rPr>
        <w:t xml:space="preserve">The system helps teachers centralize learning modules, collect task submissions with recorded timestamps, and streamline assessment through instructor-validated AI-assisted quiz drafting and automated scoring of objective quiz items. It also </w:t>
      </w:r>
      <w:r w:rsidRPr="000E6E49">
        <w:rPr>
          <w:rFonts w:ascii="Times New Roman" w:eastAsia="Times New Roman" w:hAnsi="Times New Roman" w:cs="Times New Roman"/>
          <w:bCs/>
          <w:sz w:val="24"/>
          <w:szCs w:val="24"/>
        </w:rPr>
        <w:lastRenderedPageBreak/>
        <w:t>supports timely 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Within this engine, automatic scoring is limited to objective quiz items, while responses requiring human judgment remain teacher-reviewed.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0E6E49" w:rsidRDefault="00846432" w:rsidP="000E6E49">
      <w:pPr>
        <w:spacing w:after="0" w:line="480" w:lineRule="auto"/>
        <w:jc w:val="both"/>
        <w:rPr>
          <w:rFonts w:ascii="Times New Roman" w:eastAsia="Times New Roman" w:hAnsi="Times New Roman" w:cs="Times New Roman"/>
          <w:b/>
          <w:bCs/>
          <w:sz w:val="24"/>
          <w:szCs w:val="24"/>
        </w:rPr>
      </w:pPr>
      <w:r w:rsidRPr="000E6E49">
        <w:rPr>
          <w:rFonts w:ascii="Times New Roman" w:eastAsia="Times New Roman" w:hAnsi="Times New Roman" w:cs="Times New Roman"/>
          <w:b/>
          <w:bCs/>
          <w:sz w:val="24"/>
          <w:szCs w:val="24"/>
        </w:rPr>
        <w:t>Definition of Terms</w:t>
      </w:r>
    </w:p>
    <w:p w:rsidR="00F5418A" w:rsidRPr="000E6E49" w:rsidRDefault="00846432" w:rsidP="000E6E49">
      <w:pPr>
        <w:spacing w:after="0" w:line="480" w:lineRule="auto"/>
        <w:ind w:firstLine="720"/>
        <w:jc w:val="both"/>
        <w:rPr>
          <w:rFonts w:ascii="Times New Roman" w:eastAsia="Times New Roman" w:hAnsi="Times New Roman" w:cs="Times New Roman"/>
          <w:sz w:val="24"/>
          <w:szCs w:val="24"/>
        </w:rPr>
      </w:pPr>
      <w:r w:rsidRPr="000E6E49">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0E6E49" w:rsidRDefault="00846432" w:rsidP="000E6E49">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0E6E49">
        <w:rPr>
          <w:rFonts w:ascii="Times New Roman" w:eastAsia="Times New Roman" w:hAnsi="Times New Roman" w:cs="Times New Roman"/>
          <w:b/>
          <w:bCs/>
          <w:color w:val="000000"/>
          <w:sz w:val="24"/>
          <w:szCs w:val="24"/>
        </w:rPr>
        <w:t>AI-Powered Quiz Generator.</w:t>
      </w:r>
      <w:r w:rsidRPr="000E6E49">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w:t>
      </w:r>
      <w:r w:rsidRPr="000E6E49">
        <w:rPr>
          <w:rFonts w:ascii="Times New Roman" w:eastAsia="Times New Roman" w:hAnsi="Times New Roman" w:cs="Times New Roman"/>
          <w:color w:val="000000"/>
          <w:sz w:val="24"/>
          <w:szCs w:val="24"/>
        </w:rPr>
        <w:lastRenderedPageBreak/>
        <w:t>educationally valuable assessment items from learning materials, ensuring both fluency and pedagogical relevance (</w:t>
      </w:r>
      <w:proofErr w:type="spellStart"/>
      <w:r w:rsidRPr="000E6E49">
        <w:rPr>
          <w:rFonts w:ascii="Times New Roman" w:eastAsia="Times New Roman" w:hAnsi="Times New Roman" w:cs="Times New Roman"/>
          <w:color w:val="000000"/>
          <w:sz w:val="24"/>
          <w:szCs w:val="24"/>
        </w:rPr>
        <w:t>Bulathwela</w:t>
      </w:r>
      <w:proofErr w:type="spellEnd"/>
      <w:r w:rsidRPr="000E6E49">
        <w:rPr>
          <w:rFonts w:ascii="Times New Roman" w:eastAsia="Times New Roman" w:hAnsi="Times New Roman" w:cs="Times New Roman"/>
          <w:color w:val="000000"/>
          <w:sz w:val="24"/>
          <w:szCs w:val="24"/>
        </w:rPr>
        <w:t xml:space="preserve"> et al., 2023).</w:t>
      </w:r>
    </w:p>
    <w:p w:rsidR="00F5418A" w:rsidRPr="000E6E49" w:rsidRDefault="00846432" w:rsidP="000E6E49">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0E6E49">
        <w:rPr>
          <w:rFonts w:ascii="Times New Roman" w:hAnsi="Times New Roman" w:cs="Times New Roman"/>
          <w:sz w:val="24"/>
          <w:szCs w:val="24"/>
        </w:rPr>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0E6E49" w:rsidRDefault="00846432" w:rsidP="000E6E49">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0E6E49">
        <w:rPr>
          <w:rFonts w:ascii="Times New Roman" w:eastAsia="Times New Roman" w:hAnsi="Times New Roman" w:cs="Times New Roman"/>
          <w:b/>
          <w:bCs/>
          <w:color w:val="000000"/>
          <w:sz w:val="24"/>
          <w:szCs w:val="24"/>
        </w:rPr>
        <w:t xml:space="preserve">Automated Assessment and Grading Engine. </w:t>
      </w:r>
      <w:r w:rsidRPr="000E6E49">
        <w:rPr>
          <w:rFonts w:ascii="Times New Roman" w:eastAsia="Times New Roman" w:hAnsi="Times New Roman" w:cs="Times New Roman"/>
          <w:bCs/>
          <w:color w:val="000000"/>
          <w:sz w:val="24"/>
          <w:szCs w:val="24"/>
        </w:rPr>
        <w:t>Contextually, it refers to AI-assisted and automated assessment approaches that support the evaluation of structured student outputs and improve the efficiency of educational assessment workflows, while emphasizing validity, scope, and human oversight in actual instructional use (Ouyang et al., 2023; Gardner et al., 2021).</w:t>
      </w:r>
    </w:p>
    <w:p w:rsidR="00F5418A" w:rsidRPr="000E6E49" w:rsidRDefault="00846432" w:rsidP="000E6E49">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0E6E49">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0E6E49">
        <w:rPr>
          <w:rFonts w:ascii="Times New Roman" w:hAnsi="Times New Roman" w:cs="Times New Roman"/>
          <w:sz w:val="24"/>
          <w:szCs w:val="24"/>
        </w:rPr>
        <w:t>computes</w:t>
      </w:r>
      <w:proofErr w:type="gramEnd"/>
      <w:r w:rsidRPr="000E6E49">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0E6E49" w:rsidRDefault="00846432" w:rsidP="000E6E49">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0E6E49">
        <w:rPr>
          <w:rFonts w:ascii="Times New Roman" w:eastAsia="Times New Roman" w:hAnsi="Times New Roman" w:cs="Times New Roman"/>
          <w:b/>
          <w:bCs/>
          <w:color w:val="000000"/>
          <w:sz w:val="24"/>
          <w:szCs w:val="24"/>
        </w:rPr>
        <w:t xml:space="preserve">Centralized Learning Portal. </w:t>
      </w:r>
      <w:r w:rsidRPr="000E6E49">
        <w:rPr>
          <w:rFonts w:ascii="Times New Roman" w:eastAsia="Times New Roman" w:hAnsi="Times New Roman" w:cs="Times New Roman"/>
          <w:bCs/>
          <w:color w:val="000000"/>
          <w:sz w:val="24"/>
          <w:szCs w:val="24"/>
        </w:rPr>
        <w:t>Contextually, this is an integrated online platform within a learning management system that supports structured content delivery and access to learning resources, as well as course activities and assessments (Dahal &amp; Manandhar, 2024).</w:t>
      </w:r>
    </w:p>
    <w:p w:rsidR="00F5418A" w:rsidRPr="000E6E49" w:rsidRDefault="00846432" w:rsidP="000E6E49">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0E6E49">
        <w:rPr>
          <w:rFonts w:ascii="Times New Roman" w:hAnsi="Times New Roman" w:cs="Times New Roman"/>
          <w:sz w:val="24"/>
          <w:szCs w:val="24"/>
        </w:rPr>
        <w:t xml:space="preserve">Operationally, it is the centralized learning portal feature in A.I.M.S. that allows teachers to upload and organize learning materials and tasks by subject and grade level, </w:t>
      </w:r>
      <w:r w:rsidRPr="000E6E49">
        <w:rPr>
          <w:rFonts w:ascii="Times New Roman" w:hAnsi="Times New Roman" w:cs="Times New Roman"/>
          <w:sz w:val="24"/>
          <w:szCs w:val="24"/>
        </w:rPr>
        <w:lastRenderedPageBreak/>
        <w:t>enables students to securely access and download modules, and supports online task submission with automatic logging of submission timestamps for teacher review.</w:t>
      </w:r>
    </w:p>
    <w:p w:rsidR="00F5418A" w:rsidRPr="000E6E49" w:rsidRDefault="00846432" w:rsidP="000E6E49">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0E6E49">
        <w:rPr>
          <w:rFonts w:ascii="Times New Roman" w:eastAsia="Times New Roman" w:hAnsi="Times New Roman" w:cs="Times New Roman"/>
          <w:b/>
          <w:bCs/>
          <w:color w:val="000000"/>
          <w:sz w:val="24"/>
          <w:szCs w:val="24"/>
        </w:rPr>
        <w:t>Mastery-Based Learning Module.</w:t>
      </w:r>
      <w:r w:rsidRPr="000E6E49">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w:t>
      </w:r>
      <w:proofErr w:type="spellStart"/>
      <w:r w:rsidRPr="000E6E49">
        <w:rPr>
          <w:rFonts w:ascii="Times New Roman" w:eastAsia="Times New Roman" w:hAnsi="Times New Roman" w:cs="Times New Roman"/>
          <w:color w:val="000000"/>
          <w:sz w:val="24"/>
          <w:szCs w:val="24"/>
        </w:rPr>
        <w:t>Persky</w:t>
      </w:r>
      <w:proofErr w:type="spellEnd"/>
      <w:r w:rsidRPr="000E6E49">
        <w:rPr>
          <w:rFonts w:ascii="Times New Roman" w:eastAsia="Times New Roman" w:hAnsi="Times New Roman" w:cs="Times New Roman"/>
          <w:color w:val="000000"/>
          <w:sz w:val="24"/>
          <w:szCs w:val="24"/>
        </w:rPr>
        <w:t xml:space="preserve"> &amp; Hughes, 2022).</w:t>
      </w:r>
    </w:p>
    <w:p w:rsidR="00F5418A" w:rsidRPr="000E6E49" w:rsidRDefault="00846432" w:rsidP="000E6E49">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0E6E49">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0E6E49" w:rsidRDefault="00846432" w:rsidP="000E6E49">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0E6E49">
        <w:rPr>
          <w:rFonts w:ascii="Times New Roman" w:eastAsia="Times New Roman" w:hAnsi="Times New Roman" w:cs="Times New Roman"/>
          <w:b/>
          <w:bCs/>
          <w:color w:val="000000"/>
          <w:sz w:val="24"/>
          <w:szCs w:val="24"/>
        </w:rPr>
        <w:t xml:space="preserve">Dynamic Remedial Quiz Generator. </w:t>
      </w:r>
      <w:r w:rsidRPr="000E6E49">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0E6E49">
        <w:rPr>
          <w:rFonts w:ascii="Times New Roman" w:eastAsia="Times New Roman" w:hAnsi="Times New Roman" w:cs="Times New Roman"/>
          <w:bCs/>
          <w:color w:val="000000"/>
          <w:sz w:val="24"/>
          <w:szCs w:val="24"/>
        </w:rPr>
        <w:t>Persky</w:t>
      </w:r>
      <w:proofErr w:type="spellEnd"/>
      <w:r w:rsidRPr="000E6E49">
        <w:rPr>
          <w:rFonts w:ascii="Times New Roman" w:eastAsia="Times New Roman" w:hAnsi="Times New Roman" w:cs="Times New Roman"/>
          <w:bCs/>
          <w:color w:val="000000"/>
          <w:sz w:val="24"/>
          <w:szCs w:val="24"/>
        </w:rPr>
        <w:t xml:space="preserve"> &amp; Hughes, 2022).</w:t>
      </w:r>
    </w:p>
    <w:p w:rsidR="00F5418A" w:rsidRPr="000E6E49" w:rsidRDefault="00846432" w:rsidP="000E6E49">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0E6E49">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E73745" w:rsidRPr="000E6E49" w:rsidRDefault="00265F07" w:rsidP="000E6E49">
      <w:pPr>
        <w:spacing w:line="480" w:lineRule="auto"/>
        <w:ind w:firstLine="720"/>
        <w:rPr>
          <w:rFonts w:ascii="Times New Roman" w:hAnsi="Times New Roman" w:cs="Times New Roman"/>
          <w:sz w:val="24"/>
          <w:szCs w:val="24"/>
        </w:rPr>
      </w:pPr>
      <w:r w:rsidRPr="000E6E49">
        <w:rPr>
          <w:rFonts w:ascii="Times New Roman" w:hAnsi="Times New Roman" w:cs="Times New Roman"/>
          <w:sz w:val="24"/>
          <w:szCs w:val="24"/>
        </w:rPr>
        <w:t>Instructor Validation. Contextu</w:t>
      </w:r>
      <w:r w:rsidRPr="000E6E49">
        <w:rPr>
          <w:rFonts w:ascii="Times New Roman" w:hAnsi="Times New Roman" w:cs="Times New Roman"/>
          <w:sz w:val="24"/>
          <w:szCs w:val="24"/>
        </w:rPr>
        <w:t xml:space="preserve">ally, it refers to the human review and approval step used to verify AI-assisted assessment outputs for relevance, accuracy, and </w:t>
      </w:r>
      <w:r w:rsidRPr="000E6E49">
        <w:rPr>
          <w:rFonts w:ascii="Times New Roman" w:hAnsi="Times New Roman" w:cs="Times New Roman"/>
          <w:sz w:val="24"/>
          <w:szCs w:val="24"/>
        </w:rPr>
        <w:lastRenderedPageBreak/>
        <w:t>pedagogical appropriateness before instructional use (Gardner et al., 2021; Gorgun &amp; Bulut, 2024).</w:t>
      </w:r>
    </w:p>
    <w:p w:rsidR="00E73745" w:rsidRPr="000E6E49" w:rsidRDefault="00265F07" w:rsidP="000E6E49">
      <w:pPr>
        <w:spacing w:line="480" w:lineRule="auto"/>
        <w:ind w:firstLine="720"/>
        <w:rPr>
          <w:rFonts w:ascii="Times New Roman" w:hAnsi="Times New Roman" w:cs="Times New Roman"/>
          <w:sz w:val="24"/>
          <w:szCs w:val="24"/>
        </w:rPr>
      </w:pPr>
      <w:r w:rsidRPr="000E6E49">
        <w:rPr>
          <w:rFonts w:ascii="Times New Roman" w:hAnsi="Times New Roman" w:cs="Times New Roman"/>
          <w:sz w:val="24"/>
          <w:szCs w:val="24"/>
        </w:rPr>
        <w:t>Operationally, it is the man</w:t>
      </w:r>
      <w:r w:rsidRPr="000E6E49">
        <w:rPr>
          <w:rFonts w:ascii="Times New Roman" w:hAnsi="Times New Roman" w:cs="Times New Roman"/>
          <w:sz w:val="24"/>
          <w:szCs w:val="24"/>
        </w:rPr>
        <w:t>datory teacher review workflow in A.I.M.S. through which AI-generated quizzes and remedial interventions remain pending until the teacher edits, approves, or rejects them before release to students.</w:t>
      </w:r>
    </w:p>
    <w:p w:rsidR="00E73745" w:rsidRPr="000E6E49" w:rsidRDefault="00265F07" w:rsidP="000E6E49">
      <w:pPr>
        <w:spacing w:line="480" w:lineRule="auto"/>
        <w:ind w:firstLine="720"/>
        <w:rPr>
          <w:rFonts w:ascii="Times New Roman" w:hAnsi="Times New Roman" w:cs="Times New Roman"/>
          <w:sz w:val="24"/>
          <w:szCs w:val="24"/>
        </w:rPr>
      </w:pPr>
      <w:r w:rsidRPr="000E6E49">
        <w:rPr>
          <w:rFonts w:ascii="Times New Roman" w:hAnsi="Times New Roman" w:cs="Times New Roman"/>
          <w:b/>
          <w:sz w:val="24"/>
          <w:szCs w:val="24"/>
        </w:rPr>
        <w:t>Objective Quiz Items</w:t>
      </w:r>
      <w:r w:rsidRPr="000E6E49">
        <w:rPr>
          <w:rFonts w:ascii="Times New Roman" w:hAnsi="Times New Roman" w:cs="Times New Roman"/>
          <w:sz w:val="24"/>
          <w:szCs w:val="24"/>
        </w:rPr>
        <w:t xml:space="preserve">. Contextually, these are structured </w:t>
      </w:r>
      <w:r w:rsidRPr="000E6E49">
        <w:rPr>
          <w:rFonts w:ascii="Times New Roman" w:hAnsi="Times New Roman" w:cs="Times New Roman"/>
          <w:sz w:val="24"/>
          <w:szCs w:val="24"/>
        </w:rPr>
        <w:t>assessment items with fixed or clearly delimited correct answers, such as multiple-choice questions, which are suitable for automated scoring and rapid feedback in digital learning environments (Alamoudi et al., 2025; Ouyang et al., 2023).</w:t>
      </w:r>
    </w:p>
    <w:p w:rsidR="00E73745" w:rsidRPr="000E6E49" w:rsidRDefault="00265F07" w:rsidP="000E6E49">
      <w:pPr>
        <w:spacing w:line="480" w:lineRule="auto"/>
        <w:ind w:firstLine="720"/>
        <w:rPr>
          <w:rFonts w:ascii="Times New Roman" w:hAnsi="Times New Roman" w:cs="Times New Roman"/>
          <w:sz w:val="24"/>
          <w:szCs w:val="24"/>
        </w:rPr>
      </w:pPr>
      <w:r w:rsidRPr="000E6E49">
        <w:rPr>
          <w:rFonts w:ascii="Times New Roman" w:hAnsi="Times New Roman" w:cs="Times New Roman"/>
          <w:sz w:val="24"/>
          <w:szCs w:val="24"/>
        </w:rPr>
        <w:t>Operationally, t</w:t>
      </w:r>
      <w:r w:rsidRPr="000E6E49">
        <w:rPr>
          <w:rFonts w:ascii="Times New Roman" w:hAnsi="Times New Roman" w:cs="Times New Roman"/>
          <w:sz w:val="24"/>
          <w:szCs w:val="24"/>
        </w:rPr>
        <w:t>hey are the machine-scoreable quiz questions generated and administered by A.I.M.S., including multiple-choice items with predefined answer keys used for immediate preliminary scoring.</w:t>
      </w:r>
    </w:p>
    <w:p w:rsidR="00E73745" w:rsidRPr="000E6E49" w:rsidRDefault="00265F07" w:rsidP="000E6E49">
      <w:pPr>
        <w:spacing w:line="480" w:lineRule="auto"/>
        <w:ind w:firstLine="720"/>
        <w:rPr>
          <w:rFonts w:ascii="Times New Roman" w:hAnsi="Times New Roman" w:cs="Times New Roman"/>
          <w:sz w:val="24"/>
          <w:szCs w:val="24"/>
        </w:rPr>
      </w:pPr>
      <w:r w:rsidRPr="000E6E49">
        <w:rPr>
          <w:rFonts w:ascii="Times New Roman" w:hAnsi="Times New Roman" w:cs="Times New Roman"/>
          <w:b/>
          <w:sz w:val="24"/>
          <w:szCs w:val="24"/>
        </w:rPr>
        <w:t>Progression Locks</w:t>
      </w:r>
      <w:r w:rsidRPr="000E6E49">
        <w:rPr>
          <w:rFonts w:ascii="Times New Roman" w:hAnsi="Times New Roman" w:cs="Times New Roman"/>
          <w:sz w:val="24"/>
          <w:szCs w:val="24"/>
        </w:rPr>
        <w:t>. Contextually, these are rule-based access controls i</w:t>
      </w:r>
      <w:r w:rsidRPr="000E6E49">
        <w:rPr>
          <w:rFonts w:ascii="Times New Roman" w:hAnsi="Times New Roman" w:cs="Times New Roman"/>
          <w:sz w:val="24"/>
          <w:szCs w:val="24"/>
        </w:rPr>
        <w:t>n mastery learning environments that restrict advancement to subsequent content until learners satisfy prerequisite performance criteria or complete corrective activities (Persky &amp; Hughes, 2022; Toti et al., 2023).</w:t>
      </w:r>
    </w:p>
    <w:p w:rsidR="00E73745" w:rsidRPr="000E6E49" w:rsidRDefault="00265F07" w:rsidP="000E6E49">
      <w:pPr>
        <w:spacing w:line="480" w:lineRule="auto"/>
        <w:ind w:firstLine="720"/>
        <w:rPr>
          <w:rFonts w:ascii="Times New Roman" w:hAnsi="Times New Roman" w:cs="Times New Roman"/>
          <w:sz w:val="24"/>
          <w:szCs w:val="24"/>
        </w:rPr>
      </w:pPr>
      <w:r w:rsidRPr="000E6E49">
        <w:rPr>
          <w:rFonts w:ascii="Times New Roman" w:hAnsi="Times New Roman" w:cs="Times New Roman"/>
          <w:sz w:val="24"/>
          <w:szCs w:val="24"/>
        </w:rPr>
        <w:t xml:space="preserve">Operationally, they are the configurable </w:t>
      </w:r>
      <w:r w:rsidRPr="000E6E49">
        <w:rPr>
          <w:rFonts w:ascii="Times New Roman" w:hAnsi="Times New Roman" w:cs="Times New Roman"/>
          <w:sz w:val="24"/>
          <w:szCs w:val="24"/>
        </w:rPr>
        <w:t>access restrictions in A.I.M.S. that keep later lessons, activities, or materials unavailable until the learner meets the teacher-set mastery threshold or receives instructor override approval.</w:t>
      </w:r>
    </w:p>
    <w:p w:rsidR="00E73745" w:rsidRPr="000E6E49" w:rsidRDefault="00265F07" w:rsidP="000E6E49">
      <w:pPr>
        <w:spacing w:line="480" w:lineRule="auto"/>
        <w:ind w:firstLine="720"/>
        <w:rPr>
          <w:rFonts w:ascii="Times New Roman" w:hAnsi="Times New Roman" w:cs="Times New Roman"/>
          <w:sz w:val="24"/>
          <w:szCs w:val="24"/>
        </w:rPr>
      </w:pPr>
      <w:r w:rsidRPr="000E6E49">
        <w:rPr>
          <w:rFonts w:ascii="Times New Roman" w:hAnsi="Times New Roman" w:cs="Times New Roman"/>
          <w:b/>
          <w:sz w:val="24"/>
          <w:szCs w:val="24"/>
        </w:rPr>
        <w:lastRenderedPageBreak/>
        <w:t>Teacher Override.</w:t>
      </w:r>
      <w:r w:rsidRPr="000E6E49">
        <w:rPr>
          <w:rFonts w:ascii="Times New Roman" w:hAnsi="Times New Roman" w:cs="Times New Roman"/>
          <w:sz w:val="24"/>
          <w:szCs w:val="24"/>
        </w:rPr>
        <w:t xml:space="preserve"> Contextually, it refers to the instructor's </w:t>
      </w:r>
      <w:r w:rsidRPr="000E6E49">
        <w:rPr>
          <w:rFonts w:ascii="Times New Roman" w:hAnsi="Times New Roman" w:cs="Times New Roman"/>
          <w:sz w:val="24"/>
          <w:szCs w:val="24"/>
        </w:rPr>
        <w:t>discretionary authority in digital learning systems to supersede automated progression or intervention rules when professional judgment indicates a need for contextual adjustment or exception handling (Gardner et al., 2021; Persky &amp; Hughes, 2022).</w:t>
      </w:r>
    </w:p>
    <w:p w:rsidR="00E73745" w:rsidRPr="000E6E49" w:rsidRDefault="00265F07" w:rsidP="000E6E49">
      <w:pPr>
        <w:spacing w:line="480" w:lineRule="auto"/>
        <w:ind w:firstLine="720"/>
        <w:rPr>
          <w:rFonts w:ascii="Times New Roman" w:hAnsi="Times New Roman" w:cs="Times New Roman"/>
          <w:sz w:val="24"/>
          <w:szCs w:val="24"/>
        </w:rPr>
      </w:pPr>
      <w:r w:rsidRPr="000E6E49">
        <w:rPr>
          <w:rFonts w:ascii="Times New Roman" w:hAnsi="Times New Roman" w:cs="Times New Roman"/>
          <w:sz w:val="24"/>
          <w:szCs w:val="24"/>
        </w:rPr>
        <w:t>Operatio</w:t>
      </w:r>
      <w:r w:rsidRPr="000E6E49">
        <w:rPr>
          <w:rFonts w:ascii="Times New Roman" w:hAnsi="Times New Roman" w:cs="Times New Roman"/>
          <w:sz w:val="24"/>
          <w:szCs w:val="24"/>
        </w:rPr>
        <w:t>nally, it is the control in A.I.M.S. that allows teachers to manually unlock progression, release pending remedial activities, or finalize validated scores when learner context warrants an exception.</w:t>
      </w:r>
    </w:p>
    <w:p w:rsidR="00E73745" w:rsidRPr="000E6E49" w:rsidRDefault="00265F07" w:rsidP="000E6E49">
      <w:pPr>
        <w:spacing w:line="480" w:lineRule="auto"/>
        <w:ind w:firstLine="720"/>
        <w:rPr>
          <w:rFonts w:ascii="Times New Roman" w:hAnsi="Times New Roman" w:cs="Times New Roman"/>
          <w:sz w:val="24"/>
          <w:szCs w:val="24"/>
        </w:rPr>
      </w:pPr>
      <w:r w:rsidRPr="000E6E49">
        <w:rPr>
          <w:rFonts w:ascii="Times New Roman" w:hAnsi="Times New Roman" w:cs="Times New Roman"/>
          <w:b/>
          <w:sz w:val="24"/>
          <w:szCs w:val="24"/>
        </w:rPr>
        <w:t>Remedial Intervention.</w:t>
      </w:r>
      <w:r w:rsidRPr="000E6E49">
        <w:rPr>
          <w:rFonts w:ascii="Times New Roman" w:hAnsi="Times New Roman" w:cs="Times New Roman"/>
          <w:sz w:val="24"/>
          <w:szCs w:val="24"/>
        </w:rPr>
        <w:t xml:space="preserve"> Contextually, it refers to </w:t>
      </w:r>
      <w:r w:rsidRPr="000E6E49">
        <w:rPr>
          <w:rFonts w:ascii="Times New Roman" w:hAnsi="Times New Roman" w:cs="Times New Roman"/>
          <w:sz w:val="24"/>
          <w:szCs w:val="24"/>
        </w:rPr>
        <w:t>targeted follow-up instruction or assessment designed to address identified learning gaps after formative evaluation and support subsequent mastery achievement (Hegde et al., 2024; Jumao-as et al., 2025).</w:t>
      </w:r>
    </w:p>
    <w:p w:rsidR="00E73745" w:rsidRPr="000E6E49" w:rsidRDefault="00265F07" w:rsidP="000E6E49">
      <w:pPr>
        <w:spacing w:line="480" w:lineRule="auto"/>
        <w:ind w:firstLine="720"/>
        <w:rPr>
          <w:rFonts w:ascii="Times New Roman" w:hAnsi="Times New Roman" w:cs="Times New Roman"/>
          <w:sz w:val="24"/>
          <w:szCs w:val="24"/>
        </w:rPr>
      </w:pPr>
      <w:r w:rsidRPr="000E6E49">
        <w:rPr>
          <w:rFonts w:ascii="Times New Roman" w:hAnsi="Times New Roman" w:cs="Times New Roman"/>
          <w:sz w:val="24"/>
          <w:szCs w:val="24"/>
        </w:rPr>
        <w:t>Operationally, it is the teacher-approved correctiv</w:t>
      </w:r>
      <w:r w:rsidRPr="000E6E49">
        <w:rPr>
          <w:rFonts w:ascii="Times New Roman" w:hAnsi="Times New Roman" w:cs="Times New Roman"/>
          <w:sz w:val="24"/>
          <w:szCs w:val="24"/>
        </w:rPr>
        <w:t>e activity in A.I.M.S., typically delivered as a remedial quiz linked to unmet competencies before reassessment and re-entry into the mastery progression flow.</w:t>
      </w:r>
    </w:p>
    <w:p w:rsidR="00F5418A" w:rsidRPr="000E6E49" w:rsidRDefault="00846432" w:rsidP="000E6E49">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0E6E49">
        <w:rPr>
          <w:rFonts w:ascii="Times New Roman" w:eastAsia="Times New Roman" w:hAnsi="Times New Roman" w:cs="Times New Roman"/>
          <w:b/>
          <w:bCs/>
          <w:color w:val="000000"/>
          <w:sz w:val="24"/>
          <w:szCs w:val="24"/>
        </w:rPr>
        <w:t xml:space="preserve">ISO/IEC 25010. </w:t>
      </w:r>
      <w:r w:rsidRPr="000E6E49">
        <w:rPr>
          <w:rFonts w:ascii="Times New Roman" w:eastAsia="Times New Roman" w:hAnsi="Times New Roman" w:cs="Times New Roman"/>
          <w:bCs/>
          <w:color w:val="000000"/>
          <w:sz w:val="24"/>
          <w:szCs w:val="24"/>
        </w:rPr>
        <w:t>Contextually, it refers to a software product quality model that organizes system evaluation into core characteristics and measurable attributes for judging how well a software product satisfies defined quality requirements across different use contexts (Zhang et al., 2023).</w:t>
      </w:r>
    </w:p>
    <w:p w:rsidR="002A01FF" w:rsidRPr="000E6E49" w:rsidRDefault="00846432" w:rsidP="000E6E49">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0E6E49">
        <w:rPr>
          <w:rFonts w:ascii="Times New Roman" w:hAnsi="Times New Roman" w:cs="Times New Roman"/>
          <w:sz w:val="24"/>
          <w:szCs w:val="24"/>
        </w:rPr>
        <w:t>Operationally, it is the standardized evaluation framework used by the researchers to rigorously assess A.I.M.S. system quality, effectiveness, and user satisfaction through surveys and functional testing during the validation phase.</w:t>
      </w: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is a foundational component of modern learning management systems (LMS), providing a structured environment for organizing and delivering course resources. Dahal and Manandhar (2024) described an LMS as a digital platform for developing, delivering, and managing courses, learning resources, learning activities, and assessments, and noted that LMS adoption can improve content deliverability, accessibility, and retrievability. They also emphasized that treating an LMS solely as a storage system can limit its capacity to support meaningful learning, which highlights the importance of designing portals that support both resource management and active learning workflows.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noting that teachers are often compelled to distribute printed modules manually—an </w:t>
      </w:r>
      <w:r>
        <w:rPr>
          <w:rFonts w:ascii="Times New Roman" w:hAnsi="Times New Roman" w:cs="Times New Roman"/>
          <w:sz w:val="24"/>
          <w:szCs w:val="24"/>
        </w:rPr>
        <w:lastRenderedPageBreak/>
        <w:t>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Web-based module management systems address access and distribution constraints by enabling instructors to upload, categorize, and update learning materials electronically, while students retrieve resources through a standardized platform. Simon et al. (2025) further observed that learning management systems function as active environments for information dissemination, assignments, feedback, and classroom management, which supports the role of A.I.M.S. as both a content access and submission platform. Dahal and Manandhar (2024) highlighted that resources and learning management and content management are key success factors for LMS implementation, while also identifying assessment and learning engagement as areas that can fail when platforms are used only as passive storage. Accordingly, the centralized learning portal in A.I.M.S. should be designed not only for material distribution but also to support task submission and teacher-managed assessment workflows in a manner that remains practical for real-world classroom implementation.</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Recent research has further validated the use of large language models (LLMs) in automated question generation for educational domains. Gorgun and Bulut (2024) noted that although automated question generation can efficiently produce large volumes of assessment items, gaps in standardized quality evaluation and usability review still hinder seamless educational deployment. Alamoudi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w:t>
      </w:r>
      <w:r>
        <w:rPr>
          <w:rFonts w:ascii="Times New Roman" w:hAnsi="Times New Roman" w:cs="Times New Roman"/>
          <w:sz w:val="24"/>
          <w:szCs w:val="24"/>
        </w:rPr>
        <w:lastRenderedPageBreak/>
        <w:t>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landscape, the integration of learning management systems in public schools is often constrained by contextual and operational barriers. Balase and Paglinawan (2025) reported that teachers recognized the DepEd Learning Management System as beneficial for digital instruction and engagement, but also emphasized persistent barriers such as unstable connectivity, limited technical support, digital literacy gaps, and workload management concerns. These constraints underscore the importance of designing A.I.M.S. features to streamline teacher workflows and reduce additional administrative overhead, while maintaining instructor validation controls to preserve pedagogical integrity.</w:t>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 xml:space="preserve">Automated assessment systems are increasingly used to reduce manual checking time and to provide immediate feedback in structured learning tasks. Zampirolli et al. (2021) reported that automated assessment in a large-scale introductory programming course supported continuous assessment through immediate and automatic feedback, and the classes that adopted the approach achieved higher pass rates than those that did not. Although their context focused on programming education, the study demonstrates how automated assessment can efficiently evaluate structured student outputs at scale while still supporting instructional decision-making. This supports the inclusion of an automated assessment and grading engine in A.I.M.S. for objective items generated through the </w:t>
      </w:r>
      <w:r>
        <w:rPr>
          <w:rFonts w:ascii="Times New Roman" w:hAnsi="Times New Roman" w:cs="Times New Roman"/>
          <w:sz w:val="24"/>
          <w:szCs w:val="24"/>
        </w:rPr>
        <w:lastRenderedPageBreak/>
        <w:t>platform's quiz workflow, where multiple-choice responses can be scored automatically and presented to teachers for review.</w:t>
      </w:r>
    </w:p>
    <w:p w:rsidR="00F5418A" w:rsidRDefault="00846432" w:rsidP="00682ADB">
      <w:pPr>
        <w:spacing w:after="0" w:line="480" w:lineRule="auto"/>
        <w:ind w:firstLine="720"/>
        <w:jc w:val="both"/>
      </w:pPr>
      <w:r>
        <w:rPr>
          <w:rFonts w:ascii="Times New Roman" w:hAnsi="Times New Roman" w:cs="Times New Roman"/>
          <w:sz w:val="24"/>
          <w:szCs w:val="24"/>
        </w:rPr>
        <w:t>At the same time, the use of AI in educational assessment must be framed carefully in terms of validity, scope, and oversight. Gardner et al. (2021) argued that AI-enabled educational assessment should be examined critically in relation to efficacy and validity rather than treated as an unconditional replacement for human judgment. Likewise, Ouyang et al. (2023), in a systematic review of AI-driven educational assessment in STEM education, showed that automated assessment has become a sustained area of research across formative and summative contexts. Taken together, these studies support a teacher-validation model for A.I.M.S., in which automation is applied to objective-response workflows while teachers retain responsibility for reviewing results and manually evaluating subjective or essay-based responses.</w:t>
      </w:r>
    </w:p>
    <w:p w:rsidR="00F5418A" w:rsidRDefault="00846432" w:rsidP="00682ADB">
      <w:pPr>
        <w:spacing w:after="0" w:line="480" w:lineRule="auto"/>
        <w:ind w:firstLine="720"/>
        <w:jc w:val="both"/>
      </w:pPr>
      <w:r>
        <w:rPr>
          <w:rFonts w:ascii="Times New Roman" w:hAnsi="Times New Roman" w:cs="Times New Roman"/>
          <w:sz w:val="24"/>
          <w:szCs w:val="24"/>
        </w:rPr>
        <w:t xml:space="preserve">In Philippine educational settings, persistent infrastructural and capacity constraints continue to shape how digital tools are adopted and sustained. Colegado (2025), in a scoping review of digital innovations across Philippine K-12 science education, reported that teachers relied heavily on accessible platforms and that learning management systems such as Google Classroom and Quipper were used to provide structure for content delivery and assessment. However, the review emphasized ongoing challenges including poor connectivity, unequal device access, and limited teacher preparation, particularly in rural and underserved contexts. These findings highlight the need for A.I.M.S. to support structured assessment workflows in which objective quiz items can be scored automatically </w:t>
      </w:r>
      <w:r>
        <w:rPr>
          <w:rFonts w:ascii="Times New Roman" w:hAnsi="Times New Roman" w:cs="Times New Roman"/>
          <w:sz w:val="24"/>
          <w:szCs w:val="24"/>
        </w:rPr>
        <w:lastRenderedPageBreak/>
        <w:t>while teachers retain control over scoring criteria and manual evaluation for subjective responses within realistic implementation constraints in Philippine public schools.</w:t>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Hegde et al. (2024) provided additional empirical support for this approach by showing that underperforming students improved after tailored remediation that incorporated quizzes, assignments, and focused review strategies following the identification of learning deficiencies. In the context of A.I.M.S., the proposed dynamic remedial quiz generator applies this principle by using identified learning gaps to support the drafting of targeted remedial assessment items for teacher-reviewed intervention and re-assessment. Local evidence further affirms that structured remediation interventions can yield measurable learning gains in Philippine public school contexts (Jumao-as et al., 2025).</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Persky and Hughes (2022) conducted a comprehensive review of </w:t>
      </w:r>
      <w:r>
        <w:rPr>
          <w:rFonts w:ascii="Times New Roman" w:hAnsi="Times New Roman" w:cs="Times New Roman"/>
          <w:sz w:val="24"/>
          <w:szCs w:val="24"/>
        </w:rPr>
        <w:lastRenderedPageBreak/>
        <w:t>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 Toti et al. (2023) further demonstrated that students in a mastery learning framework can prove mastery of individual units over multiple attempts, showing how progression can be tied to demonstrated competence rather than one-time completion. These principles provide the pedagogical basis for the proposed mastery-based learning module in A.I.M.S., where progression controls are used as a system design mechanism to enforce competency-based sequencing.</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Empirical evidence from the Philippine basic education context further affirms the value of structured remediation in supporting learner progression. Jumao-as et al. (2025) investigated the effectiveness of a reading remediation program implemented in a DepEd elementary school in Ozamiz City, Misamis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support the rationale for linking learner progression in A.I.M.S. to demonstrated mastery and structured remediation, even though the platform's specific lock and override controls remain part of the system's implementation design.</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reviewed literature collectively demonstrates that each of the five core features of A.I.M.S. is grounded in a robust and growing body of empirical evidence. Centralized learning portal with material distribution and task submission supports structured access to learning materials and course activities in public school environments (Dahal &amp; Manandhar, 2024; Bustillo &amp; Aguilos, 2022; Simon et al., 2025), while AI-Powered Quiz Generator with instructor validation and approval controls reduces the cognitive and administrative burden of assessment creation through validated neural and LLM-based generation methods together with quality review requirements for educational deployment </w:t>
      </w:r>
      <w:r>
        <w:rPr>
          <w:rFonts w:ascii="Times New Roman" w:hAnsi="Times New Roman" w:cs="Times New Roman"/>
          <w:sz w:val="24"/>
          <w:szCs w:val="24"/>
        </w:rPr>
        <w:lastRenderedPageBreak/>
        <w:t>(Bulathwela et al., 2023; Alamoudi et al., 2025; Gorgun &amp; Bulut, 2024). Automated assessment and grading engine supporting teacher validation is supported by literature showing that automated assessment can provide immediate feedback and scalable evaluation in structured tasks, while broader reviews of AI-enabled assessment emphasize validity and human oversight in educational use (Zampirolli et al., 2021; Gardner et al., 2021; Ouyang et al., 2023). Dynamic remedial quiz generator for targeted student intervention is supported by literature on corrective feedback, targeted remediation, and structured intervention cycles aligned with identified learning gaps (Persky &amp; Hughes, 2022; Hegde et al., 2024; Jumao-as et al., 2025). Finally, Mastery-based learning module with configurable progression locks is pedagogically grounded in mastery learning literature that emphasizes criterion-referenced progression, repeated attempts, corrective feedback, and remediation before advancement (Persky &amp; Hughes, 2022; Toti et al., 2023;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 consistent theme across both foreign and local literature is that the effectiveness of educational technology solutions depends not only on technical capability but also on contextual fit with teacher workflows and implementation constraints. Local evidence highlights persistent barriers such as unstable connectivity, limited technical support, digital literacy gaps, and workload management concerns that shape platform adoption in Philippine public schools (Balase &amp; Paglinawan, 2025; Colegado, 2025). Across the reviewed studies, core functionalities such as centralized content distribution, AI-assisted assessment creation, automated grading, targeted remediation, and mastery-based progression are commonly investigated as distinct solutions. This indicates a continuing </w:t>
      </w:r>
      <w:r>
        <w:rPr>
          <w:rFonts w:ascii="Times New Roman" w:hAnsi="Times New Roman" w:cs="Times New Roman"/>
          <w:sz w:val="24"/>
          <w:szCs w:val="24"/>
        </w:rPr>
        <w:lastRenderedPageBreak/>
        <w:t>research and design opportunity to integrate the complete instructional and assessment cycle within a single, teacher-centered platform, as envisioned 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integrating access management, automated assessment, targeted remediation, and mastery-based progression into a single, scalable educational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E16CE6">
        <w:trPr>
          <w:trHeight w:val="69"/>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Pr="00E16CE6" w:rsidRDefault="00A161C0">
            <w:pPr>
              <w:rPr>
                <w:rFonts w:ascii="Times New Roman" w:hAnsi="Times New Roman" w:cs="Times New Roman"/>
                <w:b/>
              </w:rPr>
            </w:pPr>
            <w:r w:rsidRPr="00E16CE6">
              <w:rPr>
                <w:rFonts w:ascii="Times New Roman" w:hAnsi="Times New Roman" w:cs="Times New Roman"/>
                <w:b/>
              </w:rP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Automated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Dynamic Remedial Quizzes</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Mastery-Based Progression</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lastRenderedPageBreak/>
              <w:t xml:space="preserve">Optimizing Automated Question Generation for Educational Assessments – </w:t>
            </w:r>
            <w:proofErr w:type="spellStart"/>
            <w:r w:rsidRPr="00E16CE6">
              <w:rPr>
                <w:rFonts w:ascii="Times New Roman" w:eastAsia="Times New Roman" w:hAnsi="Times New Roman" w:cs="Times New Roman"/>
                <w:sz w:val="24"/>
                <w:szCs w:val="24"/>
              </w:rPr>
              <w:t>Alamoudi</w:t>
            </w:r>
            <w:proofErr w:type="spellEnd"/>
            <w:r w:rsidRPr="00E16CE6">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The reality of e-Learning: Success and failure of learning management system – Dahal &amp; Manandhar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Review on Neural Question Generation for Education Purposes – </w:t>
            </w:r>
            <w:proofErr w:type="spellStart"/>
            <w:r w:rsidRPr="00E16CE6">
              <w:rPr>
                <w:rFonts w:ascii="Times New Roman" w:eastAsia="Times New Roman" w:hAnsi="Times New Roman" w:cs="Times New Roman"/>
                <w:sz w:val="24"/>
                <w:szCs w:val="24"/>
              </w:rPr>
              <w:t>Bulathwela</w:t>
            </w:r>
            <w:proofErr w:type="spellEnd"/>
            <w:r w:rsidRPr="00E16CE6">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A Systematic Review of AI-Driven Educational Assessment in STEM Education - Ouyang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A Practical Review of Mastery Learning – </w:t>
            </w:r>
            <w:proofErr w:type="spellStart"/>
            <w:r w:rsidRPr="00E16CE6">
              <w:rPr>
                <w:rFonts w:ascii="Times New Roman" w:eastAsia="Times New Roman" w:hAnsi="Times New Roman" w:cs="Times New Roman"/>
                <w:sz w:val="24"/>
                <w:szCs w:val="24"/>
              </w:rPr>
              <w:t>Persky</w:t>
            </w:r>
            <w:proofErr w:type="spellEnd"/>
            <w:r w:rsidRPr="00E16CE6">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An Experience of Automated Assessment in a Large-Scale Introduction Programming Course - Zampirolli et al.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16CE6">
              <w:rPr>
                <w:rFonts w:ascii="Times New Roman" w:eastAsia="Times New Roman" w:hAnsi="Times New Roman" w:cs="Times New Roman"/>
                <w:sz w:val="24"/>
                <w:szCs w:val="24"/>
              </w:rPr>
              <w:t>Aguilos</w:t>
            </w:r>
            <w:proofErr w:type="spellEnd"/>
            <w:r w:rsidRPr="00E16CE6">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Voices from the Field: Teachers' Narratives and Reflections on Integrating the </w:t>
            </w:r>
            <w:proofErr w:type="spellStart"/>
            <w:r w:rsidRPr="00E16CE6">
              <w:rPr>
                <w:rFonts w:ascii="Times New Roman" w:eastAsia="Times New Roman" w:hAnsi="Times New Roman" w:cs="Times New Roman"/>
                <w:sz w:val="24"/>
                <w:szCs w:val="24"/>
              </w:rPr>
              <w:t>DepEd</w:t>
            </w:r>
            <w:proofErr w:type="spellEnd"/>
            <w:r w:rsidRPr="00E16CE6">
              <w:rPr>
                <w:rFonts w:ascii="Times New Roman" w:eastAsia="Times New Roman" w:hAnsi="Times New Roman" w:cs="Times New Roman"/>
                <w:sz w:val="24"/>
                <w:szCs w:val="24"/>
              </w:rPr>
              <w:t xml:space="preserve"> LMS – </w:t>
            </w:r>
            <w:proofErr w:type="spellStart"/>
            <w:r w:rsidRPr="00E16CE6">
              <w:rPr>
                <w:rFonts w:ascii="Times New Roman" w:eastAsia="Times New Roman" w:hAnsi="Times New Roman" w:cs="Times New Roman"/>
                <w:sz w:val="24"/>
                <w:szCs w:val="24"/>
              </w:rPr>
              <w:t>Balase</w:t>
            </w:r>
            <w:proofErr w:type="spellEnd"/>
            <w:r w:rsidRPr="00E16CE6">
              <w:rPr>
                <w:rFonts w:ascii="Times New Roman" w:eastAsia="Times New Roman" w:hAnsi="Times New Roman" w:cs="Times New Roman"/>
                <w:sz w:val="24"/>
                <w:szCs w:val="24"/>
              </w:rPr>
              <w:t xml:space="preserve"> &amp; </w:t>
            </w:r>
            <w:proofErr w:type="spellStart"/>
            <w:r w:rsidRPr="00E16CE6">
              <w:rPr>
                <w:rFonts w:ascii="Times New Roman" w:eastAsia="Times New Roman" w:hAnsi="Times New Roman" w:cs="Times New Roman"/>
                <w:sz w:val="24"/>
                <w:szCs w:val="24"/>
              </w:rPr>
              <w:t>Paglinawan</w:t>
            </w:r>
            <w:proofErr w:type="spellEnd"/>
            <w:r w:rsidRPr="00E16CE6">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Digital Innovations in Science Education in the Philippines: A Scoping Review – </w:t>
            </w:r>
            <w:proofErr w:type="spellStart"/>
            <w:r w:rsidRPr="00E16CE6">
              <w:rPr>
                <w:rFonts w:ascii="Times New Roman" w:eastAsia="Times New Roman" w:hAnsi="Times New Roman" w:cs="Times New Roman"/>
                <w:sz w:val="24"/>
                <w:szCs w:val="24"/>
              </w:rPr>
              <w:t>Colegado</w:t>
            </w:r>
            <w:proofErr w:type="spellEnd"/>
            <w:r w:rsidRPr="00E16CE6">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Reading Remediation Program and Grade 4 Pupils' Reading Comprehension – </w:t>
            </w:r>
            <w:proofErr w:type="spellStart"/>
            <w:r w:rsidRPr="00E16CE6">
              <w:rPr>
                <w:rFonts w:ascii="Times New Roman" w:eastAsia="Times New Roman" w:hAnsi="Times New Roman" w:cs="Times New Roman"/>
                <w:sz w:val="24"/>
                <w:szCs w:val="24"/>
              </w:rPr>
              <w:t>Jumao</w:t>
            </w:r>
            <w:proofErr w:type="spellEnd"/>
            <w:r w:rsidRPr="00E16CE6">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t>An assessment of learning management system use in higher education – Simon et al. (2025)</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t>Exploring quality criteria and evaluation methods in automated question generation – Gorgun &amp; Bulut (2024)</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t>Artificial intelligence in educational assessment: 'Breakthrough? Or buncombe and ballyhoo?' – Gardner et al. (2021)</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lastRenderedPageBreak/>
              <w:t>Bridging knowledge gaps: Impact of remedial classes on first-year medical students in biochemistry – Hegde et al. (2024)</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t>Teaching CS1 with a mastery learning framework – Toti et al. (2023)</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(Dahal &amp; Manandhar, 2024; Bustillo &amp; Aguilos, 2022; Simon et al., 2025), AI-Powered Quiz Generator with instructor validation and approval controls (Alamoudi et al., 2025; Bulathwela et al., 2023; Gorgun &amp; Bulut, 2024; Balase &amp; Paglinawan, 2025), Automated assessment and grading engine supporting teacher validation (Zampirolli et al., 2021; Ouyang et al., 2023; Gardner et al., 2021; Colegado, 2025), Dynamic remedial quiz generator for targeted student intervention (Persky &amp; Hughes, 2022; Hegde et al., 2024; Jumao-as et al., 2025), and Mastery-based learning module with configurable progression locks (Persky &amp; Hughes, 2022; Balase &amp; Paglinawan, 2025; Jumao-as et al., 2025; Toti et al., 2023).</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 Centralized </w:t>
      </w:r>
      <w:r>
        <w:rPr>
          <w:rFonts w:ascii="Times New Roman" w:hAnsi="Times New Roman" w:cs="Times New Roman"/>
          <w:sz w:val="24"/>
          <w:szCs w:val="24"/>
        </w:rPr>
        <w:lastRenderedPageBreak/>
        <w:t>learning portal with material distribution and task submission, AI-Powered Quiz Generator 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645005" w:rsidRDefault="00431069" w:rsidP="00E16CE6">
      <w:pPr>
        <w:spacing w:after="0" w:line="480" w:lineRule="auto"/>
      </w:pPr>
      <w:r>
        <w:br w:type="page"/>
      </w:r>
      <w:bookmarkStart w:id="2" w:name="_GoBack"/>
      <w:bookmarkEnd w:id="2"/>
    </w:p>
    <w:p w:rsidR="00645005" w:rsidRDefault="00431069" w:rsidP="00E16CE6">
      <w:pPr>
        <w:spacing w:after="0" w:line="480" w:lineRule="auto"/>
        <w:jc w:val="center"/>
      </w:pPr>
      <w:r>
        <w:rPr>
          <w:rFonts w:ascii="Times New Roman" w:hAnsi="Times New Roman"/>
          <w:b/>
          <w:sz w:val="24"/>
        </w:rPr>
        <w:lastRenderedPageBreak/>
        <w:t>REFERENCES</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Alamoudi, S., Al Khuzayem, L. A., &amp; Jamal, A. (2025). Optimizing automated question generation for educational assessments: A semantic analysis of LLMs with structured and unstructured ontologies. Engineering, Technology &amp; Applied Science Research, 15(3), 23664–23671. </w:t>
      </w:r>
      <w:hyperlink r:id="rId6" w:history="1">
        <w:r w:rsidR="00E16CE6" w:rsidRPr="008D0F6D">
          <w:rPr>
            <w:rStyle w:val="Hyperlink"/>
            <w:rFonts w:ascii="Times New Roman" w:hAnsi="Times New Roman" w:cs="Times New Roman"/>
            <w:sz w:val="24"/>
            <w:szCs w:val="24"/>
          </w:rPr>
          <w:t>https://doi.org/10.48084/etasr.10662</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Balase, M. M. H., &amp; Paglinawan, J. L. (2025). Voices from the field: Teachers' narratives and reflections on integrating the DepEd Learning Management System (LMS) in teaching and professional development. International Journal of Scientific and Management Research, 8(10), 147–159. </w:t>
      </w:r>
      <w:hyperlink r:id="rId7" w:history="1">
        <w:r w:rsidR="00E16CE6" w:rsidRPr="008D0F6D">
          <w:rPr>
            <w:rStyle w:val="Hyperlink"/>
            <w:rFonts w:ascii="Times New Roman" w:hAnsi="Times New Roman" w:cs="Times New Roman"/>
            <w:sz w:val="24"/>
            <w:szCs w:val="24"/>
          </w:rPr>
          <w:t>https://doi.org/10.37502/ijsmr.2025.81011</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Bulathwela, S., Pérez-Ortiz, M., Holloway, C., Cukurova, M., &amp; Shawe-Taylor, J. (2023). Review on neural question generation for education purposes. International Journal of Artificial Intelligence in Education, 33(4), 691–717. </w:t>
      </w:r>
      <w:hyperlink r:id="rId8" w:history="1">
        <w:r w:rsidR="00E16CE6" w:rsidRPr="008D0F6D">
          <w:rPr>
            <w:rStyle w:val="Hyperlink"/>
            <w:rFonts w:ascii="Times New Roman" w:hAnsi="Times New Roman" w:cs="Times New Roman"/>
            <w:sz w:val="24"/>
            <w:szCs w:val="24"/>
          </w:rPr>
          <w:t>https://doi.org/10.1007/s40593-023-00374-x</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Bustillo, E., &amp; Aguilos, M. (2022). The challenges of modular learning in the wake of COVID-19: A digital divide in the Philippine countryside revealed. Education Sciences, 12(7), 449. </w:t>
      </w:r>
      <w:hyperlink r:id="rId9" w:history="1">
        <w:r w:rsidR="00E16CE6" w:rsidRPr="008D0F6D">
          <w:rPr>
            <w:rStyle w:val="Hyperlink"/>
            <w:rFonts w:ascii="Times New Roman" w:hAnsi="Times New Roman" w:cs="Times New Roman"/>
            <w:sz w:val="24"/>
            <w:szCs w:val="24"/>
          </w:rPr>
          <w:t>https://doi.org/10.3390/educsci12070449</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Colegado, J. C. (2025). Digital innovations in science education in the Philippines: A scoping review of teaching practices and tools. International Journal of Research and Innovation in Social Science, 9(3S), 6549–6556. </w:t>
      </w:r>
      <w:hyperlink r:id="rId10" w:history="1">
        <w:r w:rsidR="00E16CE6" w:rsidRPr="008D0F6D">
          <w:rPr>
            <w:rStyle w:val="Hyperlink"/>
            <w:rFonts w:ascii="Times New Roman" w:hAnsi="Times New Roman" w:cs="Times New Roman"/>
            <w:sz w:val="24"/>
            <w:szCs w:val="24"/>
          </w:rPr>
          <w:t>https://doi.org/10.47772/IJRISS.2025.903SEDU0479</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lastRenderedPageBreak/>
        <w:t xml:space="preserve">Dahal, N., &amp; Manandhar, N. (2024). The reality of e-learning: Success and failure of learning management system. Advances in Mobile Learning Educational Research, 4(1), 903–910. </w:t>
      </w:r>
      <w:hyperlink r:id="rId11" w:history="1">
        <w:r w:rsidR="00E16CE6" w:rsidRPr="008D0F6D">
          <w:rPr>
            <w:rStyle w:val="Hyperlink"/>
            <w:rFonts w:ascii="Times New Roman" w:hAnsi="Times New Roman" w:cs="Times New Roman"/>
            <w:sz w:val="24"/>
            <w:szCs w:val="24"/>
          </w:rPr>
          <w:t>https://doi.org/10.25082/amler.2024.01.001</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Gardner, J., O'Leary, M., &amp; Yuan, L. (2021). Artificial intelligence in educational assessment: 'Breakthrough? Or buncombe and ballyhoo?' Journal of Computer Assisted Learning, 37(5), 1207–1216. </w:t>
      </w:r>
      <w:hyperlink r:id="rId12" w:history="1">
        <w:r w:rsidR="00E16CE6" w:rsidRPr="008D0F6D">
          <w:rPr>
            <w:rStyle w:val="Hyperlink"/>
            <w:rFonts w:ascii="Times New Roman" w:hAnsi="Times New Roman" w:cs="Times New Roman"/>
            <w:sz w:val="24"/>
            <w:szCs w:val="24"/>
          </w:rPr>
          <w:t>https://doi.org/10.1111/jcal.12577</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Gorgun, G., &amp; Bulut, O. (2024). Exploring quality criteria and evaluation methods in automated question generation: A comprehensive survey. Education and Information Technologies, 29(18), 24111–24142. </w:t>
      </w:r>
      <w:hyperlink r:id="rId13" w:history="1">
        <w:r w:rsidR="00E16CE6" w:rsidRPr="008D0F6D">
          <w:rPr>
            <w:rStyle w:val="Hyperlink"/>
            <w:rFonts w:ascii="Times New Roman" w:hAnsi="Times New Roman" w:cs="Times New Roman"/>
            <w:sz w:val="24"/>
            <w:szCs w:val="24"/>
          </w:rPr>
          <w:t>https://doi.org/10.1007/s10639-024-12771-3</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Hegde, S. V., Shetty, P. P., Senthilkumar, M., Kandimalla, R., Bernhardt, G. V., Pinto, J. R. T., Mahadevan, R., Kotian, S. M., &amp; Rashmi, K. S. (2024). Bridging knowledge gaps: Impact of remedial classes on first-year medical students in biochemistry - a cross-sectional study. BMC Medical Education, 24(1), Article 1375. </w:t>
      </w:r>
      <w:hyperlink r:id="rId14" w:history="1">
        <w:r w:rsidR="00E16CE6" w:rsidRPr="008D0F6D">
          <w:rPr>
            <w:rStyle w:val="Hyperlink"/>
            <w:rFonts w:ascii="Times New Roman" w:hAnsi="Times New Roman" w:cs="Times New Roman"/>
            <w:sz w:val="24"/>
            <w:szCs w:val="24"/>
          </w:rPr>
          <w:t>https://doi.org/10.1186/s12909-024-06243-y</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International Organization for Standardization. (2011). Systems and software engineering—Systems and software Quality Requirements and Evaluation (SQuaRE)—System and software quality models (ISO/IEC Standard No. 25010:2011). </w:t>
      </w:r>
      <w:hyperlink r:id="rId15" w:history="1">
        <w:r w:rsidR="00E16CE6" w:rsidRPr="008D0F6D">
          <w:rPr>
            <w:rStyle w:val="Hyperlink"/>
            <w:rFonts w:ascii="Times New Roman" w:hAnsi="Times New Roman" w:cs="Times New Roman"/>
            <w:sz w:val="24"/>
            <w:szCs w:val="24"/>
          </w:rPr>
          <w:t>https://www.iso.org/standard/35733.html</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Jumao-as, J., Fuentes, J. L., Lacar, L., Fuertes, G. J., Erag, C., &amp; Tagaylo, C. (2025). Reading remediation program and Grade 4 pupils' reading comprehension. Asian </w:t>
      </w:r>
      <w:r w:rsidRPr="00E16CE6">
        <w:rPr>
          <w:rFonts w:ascii="Times New Roman" w:hAnsi="Times New Roman" w:cs="Times New Roman"/>
          <w:sz w:val="24"/>
          <w:szCs w:val="24"/>
        </w:rPr>
        <w:lastRenderedPageBreak/>
        <w:t xml:space="preserve">Journal of Education and Social Studies, 51(6), 365–377. </w:t>
      </w:r>
      <w:hyperlink r:id="rId16" w:history="1">
        <w:r w:rsidR="00E16CE6" w:rsidRPr="008D0F6D">
          <w:rPr>
            <w:rStyle w:val="Hyperlink"/>
            <w:rFonts w:ascii="Times New Roman" w:hAnsi="Times New Roman" w:cs="Times New Roman"/>
            <w:sz w:val="24"/>
            <w:szCs w:val="24"/>
          </w:rPr>
          <w:t>https://doi.org/10.9734/ajess/2025/v51i62000</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Marcos, L. T. (2026). A systematic review on artificial intelligence in education: Opportunities, challenges, and ethical implications. Preprints. </w:t>
      </w:r>
      <w:hyperlink r:id="rId17" w:history="1">
        <w:r w:rsidR="00E16CE6" w:rsidRPr="008D0F6D">
          <w:rPr>
            <w:rStyle w:val="Hyperlink"/>
            <w:rFonts w:ascii="Times New Roman" w:hAnsi="Times New Roman" w:cs="Times New Roman"/>
            <w:sz w:val="24"/>
            <w:szCs w:val="24"/>
          </w:rPr>
          <w:t>https://doi.org/10.20944/preprints202601.0448.v1</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Merino-Campos, C. (2025). The impact of artificial intelligence on personalized learning in higher education: A systematic review. Trends in Higher Education, 4(2), Article 17. </w:t>
      </w:r>
      <w:hyperlink r:id="rId18" w:history="1">
        <w:r w:rsidR="00E16CE6" w:rsidRPr="008D0F6D">
          <w:rPr>
            <w:rStyle w:val="Hyperlink"/>
            <w:rFonts w:ascii="Times New Roman" w:hAnsi="Times New Roman" w:cs="Times New Roman"/>
            <w:sz w:val="24"/>
            <w:szCs w:val="24"/>
          </w:rPr>
          <w:t>https://doi.org/10.3390/higheredu4020017</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Ouyang, F., Dinh, T. A., &amp; Xu, W. (2023). A systematic review of AI-driven educational assessment in STEM education. Journal for STEM Education Research, 6(3), 383–426. </w:t>
      </w:r>
      <w:hyperlink r:id="rId19" w:history="1">
        <w:r w:rsidR="00E16CE6" w:rsidRPr="008D0F6D">
          <w:rPr>
            <w:rStyle w:val="Hyperlink"/>
            <w:rFonts w:ascii="Times New Roman" w:hAnsi="Times New Roman" w:cs="Times New Roman"/>
            <w:sz w:val="24"/>
            <w:szCs w:val="24"/>
          </w:rPr>
          <w:t>https://doi.org/10.1007/s41979-023-00112-x</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Persky, A. M., &amp; Hughes, M. L. (2022). A practical review of mastery learning. American Journal of Pharmaceutical Education, 86(10), Article 8906. </w:t>
      </w:r>
      <w:hyperlink r:id="rId20" w:history="1">
        <w:r w:rsidR="00E16CE6" w:rsidRPr="008D0F6D">
          <w:rPr>
            <w:rStyle w:val="Hyperlink"/>
            <w:rFonts w:ascii="Times New Roman" w:hAnsi="Times New Roman" w:cs="Times New Roman"/>
            <w:sz w:val="24"/>
            <w:szCs w:val="24"/>
          </w:rPr>
          <w:t>https://doi.org/10.5688/ajpe8906</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Simon, P. D., Jiang, J., Fryer, L. K., King, R. B., &amp; Frondozo, C. E. (2025). An assessment of learning management system </w:t>
      </w:r>
      <w:proofErr w:type="gramStart"/>
      <w:r w:rsidRPr="00E16CE6">
        <w:rPr>
          <w:rFonts w:ascii="Times New Roman" w:hAnsi="Times New Roman" w:cs="Times New Roman"/>
          <w:sz w:val="24"/>
          <w:szCs w:val="24"/>
        </w:rPr>
        <w:t>use</w:t>
      </w:r>
      <w:proofErr w:type="gramEnd"/>
      <w:r w:rsidRPr="00E16CE6">
        <w:rPr>
          <w:rFonts w:ascii="Times New Roman" w:hAnsi="Times New Roman" w:cs="Times New Roman"/>
          <w:sz w:val="24"/>
          <w:szCs w:val="24"/>
        </w:rPr>
        <w:t xml:space="preserve"> in higher education: Perspectives from a comprehensive sample of teachers and students. Technology, Knowledge and Learning, 30(2), 741–767. </w:t>
      </w:r>
      <w:hyperlink r:id="rId21" w:history="1">
        <w:r w:rsidR="00E16CE6" w:rsidRPr="008D0F6D">
          <w:rPr>
            <w:rStyle w:val="Hyperlink"/>
            <w:rFonts w:ascii="Times New Roman" w:hAnsi="Times New Roman" w:cs="Times New Roman"/>
            <w:sz w:val="24"/>
            <w:szCs w:val="24"/>
          </w:rPr>
          <w:t>https://doi.org/10.1007/s10758-024-09734-5</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Toti, G., Chen, G., &amp; Gonzalez, S. (2023). Teaching CS1 with a mastery learning framework: Impact on students' learning and engagement. In Proceedings of the </w:t>
      </w:r>
      <w:r w:rsidRPr="00E16CE6">
        <w:rPr>
          <w:rFonts w:ascii="Times New Roman" w:hAnsi="Times New Roman" w:cs="Times New Roman"/>
          <w:sz w:val="24"/>
          <w:szCs w:val="24"/>
        </w:rPr>
        <w:lastRenderedPageBreak/>
        <w:t xml:space="preserve">2023 Conference on Innovation and Technology in Computer Science Education V. 1 (pp. 540–546). </w:t>
      </w:r>
      <w:hyperlink r:id="rId22" w:history="1">
        <w:r w:rsidR="00E16CE6" w:rsidRPr="008D0F6D">
          <w:rPr>
            <w:rStyle w:val="Hyperlink"/>
            <w:rFonts w:ascii="Times New Roman" w:hAnsi="Times New Roman" w:cs="Times New Roman"/>
            <w:sz w:val="24"/>
            <w:szCs w:val="24"/>
          </w:rPr>
          <w:t>https://doi.org/10.1145/3587102.3588844</w:t>
        </w:r>
      </w:hyperlink>
      <w:r w:rsidR="00E16CE6">
        <w:rPr>
          <w:rFonts w:ascii="Times New Roman" w:hAnsi="Times New Roman" w:cs="Times New Roman"/>
          <w:sz w:val="24"/>
          <w:szCs w:val="24"/>
        </w:rPr>
        <w:t xml:space="preserve"> </w:t>
      </w:r>
    </w:p>
    <w:p w:rsidR="00530332" w:rsidRPr="00E16CE6" w:rsidRDefault="00284D1F" w:rsidP="000E6E49">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Zampirolli, F. A., Borovina Josko, J. M., Venero, M. L. F., Kobayashi, G., Fraga, F. J., Goya, D., &amp; Savegnago, H. R. (2021). An experience of automated assessment in a large-scale introduction programming course. Computer Applications in Engineering Education, 29(5), 1284–1299. </w:t>
      </w:r>
      <w:hyperlink r:id="rId23" w:history="1">
        <w:r w:rsidR="00E16CE6" w:rsidRPr="008D0F6D">
          <w:rPr>
            <w:rStyle w:val="Hyperlink"/>
            <w:rFonts w:ascii="Times New Roman" w:hAnsi="Times New Roman" w:cs="Times New Roman"/>
            <w:sz w:val="24"/>
            <w:szCs w:val="24"/>
          </w:rPr>
          <w:t>https://doi.org/10.1002/cae.22385</w:t>
        </w:r>
      </w:hyperlink>
      <w:r w:rsidR="00E16CE6">
        <w:rPr>
          <w:rFonts w:ascii="Times New Roman" w:hAnsi="Times New Roman" w:cs="Times New Roman"/>
          <w:sz w:val="24"/>
          <w:szCs w:val="24"/>
        </w:rPr>
        <w:t xml:space="preserve"> </w:t>
      </w:r>
    </w:p>
    <w:p w:rsidR="00E73745" w:rsidRDefault="00265F07" w:rsidP="000E6E49">
      <w:pPr>
        <w:spacing w:line="480" w:lineRule="auto"/>
        <w:ind w:left="720" w:hanging="720"/>
      </w:pPr>
      <w:r>
        <w:t>Zhang, C., Li, B., Wang, L., Xu, H., &amp; Shao, T. (2023). A hierarchical model for quality evaluation of mixed source software based on ISO/IEC 25010. International Journal of Soft</w:t>
      </w:r>
      <w:r>
        <w:t xml:space="preserve">ware Engineering and Knowledge Engineering, 33(2), 181-205. </w:t>
      </w:r>
      <w:hyperlink r:id="rId24" w:history="1">
        <w:r w:rsidR="000E6E49" w:rsidRPr="00A57296">
          <w:rPr>
            <w:rStyle w:val="Hyperlink"/>
          </w:rPr>
          <w:t>https://doi.org/10.1142/S021819402250070X</w:t>
        </w:r>
      </w:hyperlink>
      <w:r w:rsidR="000E6E49">
        <w:t xml:space="preserve"> </w:t>
      </w:r>
    </w:p>
    <w:sectPr w:rsidR="00E73745">
      <w:headerReference w:type="default" r:id="rId25"/>
      <w:footerReference w:type="default" r:id="rId26"/>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5F07" w:rsidRDefault="00265F07">
      <w:pPr>
        <w:spacing w:after="0" w:line="240" w:lineRule="auto"/>
      </w:pPr>
      <w:r>
        <w:separator/>
      </w:r>
    </w:p>
  </w:endnote>
  <w:endnote w:type="continuationSeparator" w:id="0">
    <w:p w:rsidR="00265F07" w:rsidRDefault="00265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5B2CFE47-7BFD-46AE-88FC-5637E7BACDA6}"/>
    <w:embedBold r:id="rId2" w:fontKey="{603B58EC-A77F-49B1-B795-8A9894E7F9B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9936E74-8E17-4C5E-BB0E-D42902DACEE5}"/>
  </w:font>
  <w:font w:name="Segoe UI Symbol">
    <w:panose1 w:val="020B0502040204020203"/>
    <w:charset w:val="00"/>
    <w:family w:val="swiss"/>
    <w:pitch w:val="variable"/>
    <w:sig w:usb0="800001E3" w:usb1="1200FFEF" w:usb2="00040000" w:usb3="00000000" w:csb0="00000001" w:csb1="00000000"/>
    <w:embedRegular r:id="rId4" w:fontKey="{3EC9811F-377B-4EB2-8A5A-69534E2C0013}"/>
  </w:font>
  <w:font w:name="Cambria">
    <w:panose1 w:val="02040503050406030204"/>
    <w:charset w:val="00"/>
    <w:family w:val="roman"/>
    <w:pitch w:val="variable"/>
    <w:sig w:usb0="E00006FF" w:usb1="420024FF" w:usb2="02000000" w:usb3="00000000" w:csb0="0000019F" w:csb1="00000000"/>
    <w:embedRegular r:id="rId5" w:fontKey="{D50E7F31-76A1-452B-A595-6A47E6391B11}"/>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0E6E49">
      <w:rPr>
        <w:rFonts w:ascii="Times New Roman" w:eastAsia="Times New Roman" w:hAnsi="Times New Roman" w:cs="Times New Roman"/>
        <w:noProof/>
        <w:color w:val="000000"/>
        <w:sz w:val="24"/>
        <w:szCs w:val="24"/>
      </w:rPr>
      <w:t>24</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5F07" w:rsidRDefault="00265F07">
      <w:pPr>
        <w:spacing w:after="0" w:line="240" w:lineRule="auto"/>
      </w:pPr>
      <w:r>
        <w:separator/>
      </w:r>
    </w:p>
  </w:footnote>
  <w:footnote w:type="continuationSeparator" w:id="0">
    <w:p w:rsidR="00265F07" w:rsidRDefault="00265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0E6E49"/>
    <w:rsid w:val="00265F07"/>
    <w:rsid w:val="0027776D"/>
    <w:rsid w:val="00284D1F"/>
    <w:rsid w:val="002A01FF"/>
    <w:rsid w:val="00431069"/>
    <w:rsid w:val="004F3D34"/>
    <w:rsid w:val="00500450"/>
    <w:rsid w:val="00530332"/>
    <w:rsid w:val="00554D81"/>
    <w:rsid w:val="00570319"/>
    <w:rsid w:val="0063444D"/>
    <w:rsid w:val="00645005"/>
    <w:rsid w:val="00682ADB"/>
    <w:rsid w:val="006B65FA"/>
    <w:rsid w:val="00846432"/>
    <w:rsid w:val="00882047"/>
    <w:rsid w:val="00A161C0"/>
    <w:rsid w:val="00AD014B"/>
    <w:rsid w:val="00BA6834"/>
    <w:rsid w:val="00BB1C01"/>
    <w:rsid w:val="00BB65C2"/>
    <w:rsid w:val="00BD7D69"/>
    <w:rsid w:val="00D958C7"/>
    <w:rsid w:val="00E16CE6"/>
    <w:rsid w:val="00E24956"/>
    <w:rsid w:val="00E73745"/>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3BFF"/>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0593-023-00374-x" TargetMode="External"/><Relationship Id="rId13" Type="http://schemas.openxmlformats.org/officeDocument/2006/relationships/hyperlink" Target="https://doi.org/10.1007/s10639-024-12771-3" TargetMode="External"/><Relationship Id="rId18" Type="http://schemas.openxmlformats.org/officeDocument/2006/relationships/hyperlink" Target="https://doi.org/10.3390/higheredu4020017"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doi.org/10.1007/s10758-024-09734-5" TargetMode="External"/><Relationship Id="rId7" Type="http://schemas.openxmlformats.org/officeDocument/2006/relationships/hyperlink" Target="https://doi.org/10.37502/ijsmr.2025.81011" TargetMode="External"/><Relationship Id="rId12" Type="http://schemas.openxmlformats.org/officeDocument/2006/relationships/hyperlink" Target="https://doi.org/10.1111/jcal.12577" TargetMode="External"/><Relationship Id="rId17" Type="http://schemas.openxmlformats.org/officeDocument/2006/relationships/hyperlink" Target="https://doi.org/10.20944/preprints202601.0448.v1" TargetMode="External"/><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doi.org/10.9734/ajess/2025/v51i62000" TargetMode="External"/><Relationship Id="rId20" Type="http://schemas.openxmlformats.org/officeDocument/2006/relationships/hyperlink" Target="https://doi.org/10.5688/ajpe8906" TargetMode="Externa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25082/amler.2024.01.001" TargetMode="External"/><Relationship Id="rId24" Type="http://schemas.openxmlformats.org/officeDocument/2006/relationships/hyperlink" Target="https://doi.org/10.1142/S021819402250070X" TargetMode="External"/><Relationship Id="rId5" Type="http://schemas.openxmlformats.org/officeDocument/2006/relationships/endnotes" Target="endnotes.xml"/><Relationship Id="rId15" Type="http://schemas.openxmlformats.org/officeDocument/2006/relationships/hyperlink" Target="https://www.iso.org/standard/35733.html" TargetMode="External"/><Relationship Id="rId23" Type="http://schemas.openxmlformats.org/officeDocument/2006/relationships/hyperlink" Target="https://doi.org/10.1002/cae.22385" TargetMode="External"/><Relationship Id="rId28" Type="http://schemas.openxmlformats.org/officeDocument/2006/relationships/theme" Target="theme/theme1.xml"/><Relationship Id="rId10" Type="http://schemas.openxmlformats.org/officeDocument/2006/relationships/hyperlink" Target="https://doi.org/10.47772/IJRISS.2025.903SEDU0479" TargetMode="External"/><Relationship Id="rId19" Type="http://schemas.openxmlformats.org/officeDocument/2006/relationships/hyperlink" Target="https://doi.org/10.1007/s41979-023-00112-x" TargetMode="External"/><Relationship Id="rId4" Type="http://schemas.openxmlformats.org/officeDocument/2006/relationships/footnotes" Target="footnotes.xml"/><Relationship Id="rId9" Type="http://schemas.openxmlformats.org/officeDocument/2006/relationships/hyperlink" Target="https://doi.org/10.3390/educsci12070449" TargetMode="External"/><Relationship Id="rId14" Type="http://schemas.openxmlformats.org/officeDocument/2006/relationships/hyperlink" Target="https://doi.org/10.1186/s12909-024-06243-y" TargetMode="External"/><Relationship Id="rId22" Type="http://schemas.openxmlformats.org/officeDocument/2006/relationships/hyperlink" Target="https://doi.org/10.1145/3587102.3588844"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27</Pages>
  <Words>5991</Words>
  <Characters>34152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15</cp:revision>
  <cp:lastPrinted>2026-03-30T09:37:00Z</cp:lastPrinted>
  <dcterms:created xsi:type="dcterms:W3CDTF">2026-03-30T07:38:00Z</dcterms:created>
  <dcterms:modified xsi:type="dcterms:W3CDTF">2026-05-08T09:20:00Z</dcterms:modified>
</cp:coreProperties>
</file>