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 Contextually, this is an integrated online platform within a learning management system that supports structured content delivery and access to learning resources, as well as course activities and assessments (Dahal &amp; Manandhar, 2024).</w:t>
      </w:r>
      <w:r w:rsidRPr="002A01FF">
        <w:rPr>
          <w:rFonts w:ascii="Times New Roman" w:eastAsia="Times New Roman" w:hAnsi="Times New Roman" w:cs="Times New Roman"/>
          <w:color w:val="000000"/>
          <w:sz w:val="24"/>
          <w:szCs w:val="24"/>
        </w:rPr>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is a foundational component of modern learning management systems (LMS), providing a structured environment for organizing and delivering course resources. Dahal and Manandhar (2024) described an LMS as a digital platform for developing, delivering, and managing courses, learning resources, learning activities, and assessments, and noted that LMS adoption can improve content deliverability, accessibility, and retrievability. They also emphasized that treating an LMS solely as a storage system can limit its capacity to support meaningful learning, which highlights the importance of designing portals that support both resource management and active learning workflows.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Web-based module management systems address access and distribution constraints by enabling instructors to upload, categorize, and update learning materials electronically, while students retrieve resources through a standardized platform. Dahal and Manandhar (2024) highlighted that resources and learning management and content management are key success factors for LMS implementation, while also identifying assessment and learning engagement as areas that can fail when platforms are used only as passive storage. Accordingly, the centralized learning portal in A.I.M.S. should be designed not only for material distribution but also to support task submission and teacher-managed assessment workflows in a manner that remains practical for real-world classroom implementation.</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 Local evidence further affirms that structured remediation interventions can yield measurable learning gains in Philippine public school contexts (Jumao-as et al., 2025).</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w:t>
      </w:r>
      <w:r>
        <w:rPr>
          <w:rFonts w:ascii="Times New Roman" w:hAnsi="Times New Roman" w:cs="Times New Roman"/>
          <w:sz w:val="24"/>
          <w:szCs w:val="24"/>
        </w:rPr>
        <w:lastRenderedPageBreak/>
        <w:t>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w:t>
      </w:r>
      <w:r>
        <w:rPr>
          <w:rFonts w:ascii="Times New Roman" w:hAnsi="Times New Roman" w:cs="Times New Roman"/>
          <w:sz w:val="24"/>
          <w:szCs w:val="24"/>
        </w:rPr>
        <w:lastRenderedPageBreak/>
        <w:t>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reviewed literature collectively demonstrates that each of the five core features of A.I.M.S. is grounded in a robust and growing body of empirical evidence. Centralized learning portal with material distribution and task submission supports structured access to learning materials and course activities in public school environments (Dahal &amp; Manandhar, 2024;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supports targeted intervention by operationalizing corrective feedback and structured remediation cycles aligned with identified learning gaps (Persky &amp; Hughes, 2022; Jumao-as et al., 2025). Finally, Mastery-based learning module with configurable progression locks provides structured, competency-based progression that supports mastery attainment and reduces learning gaps (Persky &amp; Hughes, 2022; Jumao-as et al., 2025).</w:t>
      </w:r>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The reality of e-Learning: Success and failure of learning management system – Dahal &amp; Manandhar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(Dahal &amp; Manandhar, 2024;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Dahal, N., &amp; Manandhar, N. (2024). The reality of e-learning: Success and failure of learning management system. Advances in Mobile Learning Educational Research, 4(1), 903–910. https://doi.org/10.25082/amler.2024.01.001</w:t>
      </w:r>
      <w:r>
        <w:rPr>
          <w:rFonts w:ascii="Times New Roman" w:hAnsi="Times New Roman"/>
          <w:i/>
          <w:sz w:val="24"/>
        </w:rPr>
      </w:r>
      <w:r>
        <w:rPr>
          <w:rFonts w:ascii="Times New Roman" w:hAnsi="Times New Roman"/>
          <w:sz w:val="24"/>
        </w:rPr>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