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7xdup9nip5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29frhm16r2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OF TERMS</w:t>
      </w:r>
    </w:p>
    <w:p w:rsidR="00000000" w:rsidDel="00000000" w:rsidP="00000000" w:rsidRDefault="00000000" w:rsidRPr="00000000" w14:paraId="00000003">
      <w:pPr>
        <w:spacing w:after="240" w:before="240" w:lineRule="auto"/>
        <w:ind w:left="283.46456692913387" w:hanging="283.46456692913387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Bradley, V. M. (2021). Learning management system (LMS) use with online instruction.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of Technology in Education,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(1), 68–92.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https://doi.org/10.46328/ijte.36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283.46456692913387" w:hanging="283.46456692913387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Bulathwela, S., Pérez-Ortiz, M., Holloway, C., Cukurova, M., &amp; Shawe-Taylor, J. (2023). Review on neural question generation for education purposes.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of Artificial Intelligence in Education, 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691–717.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https://doi.org/10.1007/s40593-023-00374-x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283.46456692913387" w:hanging="283.46456692913387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Organization for Standardization. (2011).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Systems and software engineering—Systems and software Quality Requirements and Evaluation (SQuaRE)—System and software quality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(ISO/IEC Standard No. 25010:2011).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https://www.iso.org/standard/35733.html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283.46456692913387" w:hanging="283.46456692913387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Persky, A. M., &amp; Hughes, M. L. (2022). A practical review of mastery 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Journal of Pharmaceutical Education, 86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(10), Article 8906.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https://doi.org/10.5688/ajpe8906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283.46456692913387" w:hanging="283.46456692913387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Ramesh, D., &amp; Sanampudi, S. K. (2022). An automated essay scoring systems: A systematic literature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Artificial Intelligence Review, 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2495–2527.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https://doi.org/10.1007/s10462-021-10068-2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283.46456692913387" w:hanging="283.46456692913387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Susnjak, T., Ramaswami, G. S., &amp; Mathrani, A. (2022). Learning analytics dashboard: A tool for providing actionable insights to learners.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of Educational Technology in Higher Education, 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(1), Article 12.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https://doi.org/10.1186/s41239-021-00313-7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283.46456692913387"/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highlight w:val="yellow"/>
        </w:rPr>
      </w:pPr>
      <w:bookmarkStart w:colFirst="0" w:colLast="0" w:name="_t5vj0p5jwfw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highlight w:val="yellow"/>
          <w:rtl w:val="0"/>
        </w:rPr>
        <w:t xml:space="preserve">📝 Formatting Tip for Google Docs: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Highlight all of your pasted reference text.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Click Format in the top menu bar.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Hover over Align &amp; indent, then click Indentation options.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In the pop-up window, look for the Special indent section.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Click the dropdown menu (which usually says "None") and select Hanging.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Make sure the number next to it is set to 0.5.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Click Apply.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highlight w:val="yellow"/>
        </w:rPr>
      </w:pPr>
      <w:bookmarkStart w:colFirst="0" w:colLast="0" w:name="_xtwcv9pp0rm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highlight w:val="yellow"/>
        </w:rPr>
      </w:pPr>
      <w:bookmarkStart w:colFirst="0" w:colLast="0" w:name="_4b655ci5pky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highlight w:val="yellow"/>
          <w:rtl w:val="0"/>
        </w:rPr>
        <w:t xml:space="preserve">📝 Formatting Tip for Microsoft Word: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 all of your pasted reference text.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 tab at the top of the window, or simply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Right-click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 the highlighted text.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Paragraph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 (if you are on the Home tab, click the tiny arrow in the bottom-right corner of the "Paragraph" section).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In the pop-up window, look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Indentation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 section.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Under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Special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 dropdown menu,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Hanging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Make sure the "By" value next to it is set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0.5"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 (or 1.27 cm if your Word is set to metric).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283.46456692913387" w:hanging="283.46456692913387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so.org/standard/35733.html" TargetMode="External"/><Relationship Id="rId10" Type="http://schemas.openxmlformats.org/officeDocument/2006/relationships/hyperlink" Target="https://www.iso.org/standard/35733.html" TargetMode="External"/><Relationship Id="rId13" Type="http://schemas.openxmlformats.org/officeDocument/2006/relationships/hyperlink" Target="https://www.google.com/search?q=https://doi.org/10.5688/ajpe8906" TargetMode="External"/><Relationship Id="rId12" Type="http://schemas.openxmlformats.org/officeDocument/2006/relationships/hyperlink" Target="https://www.google.com/search?q=https://doi.org/10.5688/ajpe890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07/s40593-023-00374-x" TargetMode="External"/><Relationship Id="rId15" Type="http://schemas.openxmlformats.org/officeDocument/2006/relationships/hyperlink" Target="https://doi.org/10.1007/s10462-021-10068-2" TargetMode="External"/><Relationship Id="rId14" Type="http://schemas.openxmlformats.org/officeDocument/2006/relationships/hyperlink" Target="https://doi.org/10.1007/s10462-021-10068-2" TargetMode="External"/><Relationship Id="rId17" Type="http://schemas.openxmlformats.org/officeDocument/2006/relationships/hyperlink" Target="https://doi.org/10.1186/s41239-021-00313-7" TargetMode="External"/><Relationship Id="rId16" Type="http://schemas.openxmlformats.org/officeDocument/2006/relationships/hyperlink" Target="https://doi.org/10.1186/s41239-021-00313-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46328/ijte.36" TargetMode="External"/><Relationship Id="rId7" Type="http://schemas.openxmlformats.org/officeDocument/2006/relationships/hyperlink" Target="https://doi.org/10.46328/ijte.36" TargetMode="External"/><Relationship Id="rId8" Type="http://schemas.openxmlformats.org/officeDocument/2006/relationships/hyperlink" Target="https://doi.org/10.1007/s40593-023-00374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