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/>
        <w:jc w:val="center"/>
      </w:pPr>
      <w:r>
        <w:rPr>
          <w:rFonts w:ascii="Times New Roman" w:hAnsi="Times New Roman"/>
          <w:b/>
          <w:sz w:val="28"/>
        </w:rPr>
        <w:t>Reference Usage Map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600"/>
        <w:gridCol w:w="5760"/>
      </w:tblGrid>
      <w:tr>
        <w:tc>
          <w:tcPr>
            <w:tcW w:type="dxa" w:w="4320"/>
            <w:shd w:fill="D9D9D9"/>
            <w:tcBorders>
              <w:top w:sz="4" w:val="single" w:color="000000"/>
              <w:left w:sz="4" w:val="single" w:color="000000"/>
              <w:bottom w:sz="4" w:val="single" w:color="000000"/>
              <w:right w:sz="4" w:val="single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Reference</w:t>
            </w:r>
          </w:p>
        </w:tc>
        <w:tc>
          <w:tcPr>
            <w:tcW w:type="dxa" w:w="4320"/>
            <w:shd w:fill="D9D9D9"/>
            <w:tcBorders>
              <w:top w:sz="4" w:val="single" w:color="000000"/>
              <w:left w:sz="4" w:val="single" w:color="000000"/>
              <w:bottom w:sz="4" w:val="single" w:color="000000"/>
              <w:right w:sz="4" w:val="single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Where Used</w:t>
            </w:r>
          </w:p>
        </w:tc>
      </w:tr>
      <w:tr>
        <w:tc>
          <w:tcPr>
            <w:tcW w:type="dxa" w:w="3600"/>
            <w:tcBorders>
              <w:top w:sz="4" w:val="single" w:color="000000"/>
              <w:left w:sz="4" w:val="single" w:color="000000"/>
              <w:bottom w:sz="4" w:val="single" w:color="000000"/>
              <w:right w:sz="4" w:val="single" w:color="000000"/>
            </w:tcBorders>
          </w:tcPr>
          <w:p>
            <w:pPr>
              <w:spacing w:line="276" w:lineRule="auto" w:after="0"/>
            </w:pPr>
            <w:r>
              <w:rPr>
                <w:rFonts w:ascii="Times New Roman" w:hAnsi="Times New Roman"/>
                <w:sz w:val="24"/>
              </w:rPr>
              <w:t>Alamoudi (2025)</w:t>
            </w:r>
          </w:p>
        </w:tc>
        <w:tc>
          <w:tcPr>
            <w:tcW w:type="dxa" w:w="5760"/>
            <w:tcBorders>
              <w:top w:sz="4" w:val="single" w:color="000000"/>
              <w:left w:sz="4" w:val="single" w:color="000000"/>
              <w:bottom w:sz="4" w:val="single" w:color="000000"/>
              <w:right w:sz="4" w:val="single" w:color="000000"/>
            </w:tcBorders>
          </w:tcPr>
          <w:p>
            <w:pPr>
              <w:spacing w:line="276" w:lineRule="auto" w:after="0"/>
            </w:pPr>
            <w:r>
              <w:rPr>
                <w:rFonts w:ascii="Times New Roman" w:hAnsi="Times New Roman"/>
                <w:sz w:val="24"/>
              </w:rPr>
              <w:t>Ch1 Definition of Terms; Ch2 Sec 1.2; Ch2 Synthesis</w:t>
            </w:r>
          </w:p>
        </w:tc>
      </w:tr>
      <w:tr>
        <w:tc>
          <w:tcPr>
            <w:tcW w:type="dxa" w:w="3600"/>
            <w:tcBorders>
              <w:top w:sz="4" w:val="single" w:color="000000"/>
              <w:left w:sz="4" w:val="single" w:color="000000"/>
              <w:bottom w:sz="4" w:val="single" w:color="000000"/>
              <w:right w:sz="4" w:val="single" w:color="000000"/>
            </w:tcBorders>
          </w:tcPr>
          <w:p>
            <w:pPr>
              <w:spacing w:line="276" w:lineRule="auto" w:after="0"/>
            </w:pPr>
            <w:r>
              <w:rPr>
                <w:rFonts w:ascii="Times New Roman" w:hAnsi="Times New Roman"/>
                <w:sz w:val="24"/>
              </w:rPr>
              <w:t>Balase &amp; Paglinawan (2025)</w:t>
            </w:r>
          </w:p>
        </w:tc>
        <w:tc>
          <w:tcPr>
            <w:tcW w:type="dxa" w:w="5760"/>
            <w:tcBorders>
              <w:top w:sz="4" w:val="single" w:color="000000"/>
              <w:left w:sz="4" w:val="single" w:color="000000"/>
              <w:bottom w:sz="4" w:val="single" w:color="000000"/>
              <w:right w:sz="4" w:val="single" w:color="000000"/>
            </w:tcBorders>
          </w:tcPr>
          <w:p>
            <w:pPr>
              <w:spacing w:line="276" w:lineRule="auto" w:after="0"/>
            </w:pPr>
            <w:r>
              <w:rPr>
                <w:rFonts w:ascii="Times New Roman" w:hAnsi="Times New Roman"/>
                <w:sz w:val="24"/>
              </w:rPr>
              <w:t>Ch1 Background; Ch2 Sec 1.2; Ch2 Sec 1.4; Ch2 Synthesis</w:t>
            </w:r>
          </w:p>
        </w:tc>
      </w:tr>
      <w:tr>
        <w:tc>
          <w:tcPr>
            <w:tcW w:type="dxa" w:w="3600"/>
            <w:tcBorders>
              <w:top w:sz="4" w:val="single" w:color="000000"/>
              <w:left w:sz="4" w:val="single" w:color="000000"/>
              <w:bottom w:sz="4" w:val="single" w:color="000000"/>
              <w:right w:sz="4" w:val="single" w:color="000000"/>
            </w:tcBorders>
          </w:tcPr>
          <w:p>
            <w:pPr>
              <w:spacing w:line="276" w:lineRule="auto" w:after="0"/>
            </w:pPr>
            <w:r>
              <w:rPr>
                <w:rFonts w:ascii="Times New Roman" w:hAnsi="Times New Roman"/>
                <w:sz w:val="24"/>
              </w:rPr>
              <w:t>Bradley (2021)</w:t>
            </w:r>
          </w:p>
        </w:tc>
        <w:tc>
          <w:tcPr>
            <w:tcW w:type="dxa" w:w="5760"/>
            <w:tcBorders>
              <w:top w:sz="4" w:val="single" w:color="000000"/>
              <w:left w:sz="4" w:val="single" w:color="000000"/>
              <w:bottom w:sz="4" w:val="single" w:color="000000"/>
              <w:right w:sz="4" w:val="single" w:color="000000"/>
            </w:tcBorders>
          </w:tcPr>
          <w:p>
            <w:pPr>
              <w:spacing w:line="276" w:lineRule="auto" w:after="0"/>
            </w:pPr>
            <w:r>
              <w:rPr>
                <w:rFonts w:ascii="Times New Roman" w:hAnsi="Times New Roman"/>
                <w:sz w:val="24"/>
              </w:rPr>
              <w:t>Ch1 Definition of Terms; Ch2 Sec 1.1; Ch2 Synthesis</w:t>
            </w:r>
          </w:p>
        </w:tc>
      </w:tr>
      <w:tr>
        <w:tc>
          <w:tcPr>
            <w:tcW w:type="dxa" w:w="3600"/>
            <w:tcBorders>
              <w:top w:sz="4" w:val="single" w:color="000000"/>
              <w:left w:sz="4" w:val="single" w:color="000000"/>
              <w:bottom w:sz="4" w:val="single" w:color="000000"/>
              <w:right w:sz="4" w:val="single" w:color="000000"/>
            </w:tcBorders>
          </w:tcPr>
          <w:p>
            <w:pPr>
              <w:spacing w:line="276" w:lineRule="auto" w:after="0"/>
            </w:pPr>
            <w:r>
              <w:rPr>
                <w:rFonts w:ascii="Times New Roman" w:hAnsi="Times New Roman"/>
                <w:sz w:val="24"/>
              </w:rPr>
              <w:t>Bulathwela et al. (2023)</w:t>
            </w:r>
          </w:p>
        </w:tc>
        <w:tc>
          <w:tcPr>
            <w:tcW w:type="dxa" w:w="5760"/>
            <w:tcBorders>
              <w:top w:sz="4" w:val="single" w:color="000000"/>
              <w:left w:sz="4" w:val="single" w:color="000000"/>
              <w:bottom w:sz="4" w:val="single" w:color="000000"/>
              <w:right w:sz="4" w:val="single" w:color="000000"/>
            </w:tcBorders>
          </w:tcPr>
          <w:p>
            <w:pPr>
              <w:spacing w:line="276" w:lineRule="auto" w:after="0"/>
            </w:pPr>
            <w:r>
              <w:rPr>
                <w:rFonts w:ascii="Times New Roman" w:hAnsi="Times New Roman"/>
                <w:sz w:val="24"/>
              </w:rPr>
              <w:t>Ch1 Definition of Terms; Ch2 Sec 1.2; Ch2 Synthesis</w:t>
            </w:r>
          </w:p>
        </w:tc>
      </w:tr>
      <w:tr>
        <w:tc>
          <w:tcPr>
            <w:tcW w:type="dxa" w:w="3600"/>
            <w:tcBorders>
              <w:top w:sz="4" w:val="single" w:color="000000"/>
              <w:left w:sz="4" w:val="single" w:color="000000"/>
              <w:bottom w:sz="4" w:val="single" w:color="000000"/>
              <w:right w:sz="4" w:val="single" w:color="000000"/>
            </w:tcBorders>
          </w:tcPr>
          <w:p>
            <w:pPr>
              <w:spacing w:line="276" w:lineRule="auto" w:after="0"/>
            </w:pPr>
            <w:r>
              <w:rPr>
                <w:rFonts w:ascii="Times New Roman" w:hAnsi="Times New Roman"/>
                <w:sz w:val="24"/>
              </w:rPr>
              <w:t>Bustillo &amp; Aguilos (2022)</w:t>
            </w:r>
          </w:p>
        </w:tc>
        <w:tc>
          <w:tcPr>
            <w:tcW w:type="dxa" w:w="5760"/>
            <w:tcBorders>
              <w:top w:sz="4" w:val="single" w:color="000000"/>
              <w:left w:sz="4" w:val="single" w:color="000000"/>
              <w:bottom w:sz="4" w:val="single" w:color="000000"/>
              <w:right w:sz="4" w:val="single" w:color="000000"/>
            </w:tcBorders>
          </w:tcPr>
          <w:p>
            <w:pPr>
              <w:spacing w:line="276" w:lineRule="auto" w:after="0"/>
            </w:pPr>
            <w:r>
              <w:rPr>
                <w:rFonts w:ascii="Times New Roman" w:hAnsi="Times New Roman"/>
                <w:sz w:val="24"/>
              </w:rPr>
              <w:t>Ch1 Background; Ch2 Synthesis</w:t>
            </w:r>
          </w:p>
        </w:tc>
      </w:tr>
      <w:tr>
        <w:tc>
          <w:tcPr>
            <w:tcW w:type="dxa" w:w="3600"/>
            <w:tcBorders>
              <w:top w:sz="4" w:val="single" w:color="000000"/>
              <w:left w:sz="4" w:val="single" w:color="000000"/>
              <w:bottom w:sz="4" w:val="single" w:color="000000"/>
              <w:right w:sz="4" w:val="single" w:color="000000"/>
            </w:tcBorders>
          </w:tcPr>
          <w:p>
            <w:pPr>
              <w:spacing w:line="276" w:lineRule="auto" w:after="0"/>
            </w:pPr>
            <w:r>
              <w:rPr>
                <w:rFonts w:ascii="Times New Roman" w:hAnsi="Times New Roman"/>
                <w:sz w:val="24"/>
              </w:rPr>
              <w:t>Colegado (2025)</w:t>
            </w:r>
          </w:p>
        </w:tc>
        <w:tc>
          <w:tcPr>
            <w:tcW w:type="dxa" w:w="5760"/>
            <w:tcBorders>
              <w:top w:sz="4" w:val="single" w:color="000000"/>
              <w:left w:sz="4" w:val="single" w:color="000000"/>
              <w:bottom w:sz="4" w:val="single" w:color="000000"/>
              <w:right w:sz="4" w:val="single" w:color="000000"/>
            </w:tcBorders>
          </w:tcPr>
          <w:p>
            <w:pPr>
              <w:spacing w:line="276" w:lineRule="auto" w:after="0"/>
            </w:pPr>
            <w:r>
              <w:rPr>
                <w:rFonts w:ascii="Times New Roman" w:hAnsi="Times New Roman"/>
                <w:sz w:val="24"/>
              </w:rPr>
              <w:t>Ch1 Background; Ch2 Sec 1.3; Ch2 Synthesis</w:t>
            </w:r>
          </w:p>
        </w:tc>
      </w:tr>
      <w:tr>
        <w:tc>
          <w:tcPr>
            <w:tcW w:type="dxa" w:w="3600"/>
            <w:tcBorders>
              <w:top w:sz="4" w:val="single" w:color="000000"/>
              <w:left w:sz="4" w:val="single" w:color="000000"/>
              <w:bottom w:sz="4" w:val="single" w:color="000000"/>
              <w:right w:sz="4" w:val="single" w:color="000000"/>
            </w:tcBorders>
          </w:tcPr>
          <w:p>
            <w:pPr>
              <w:spacing w:line="276" w:lineRule="auto" w:after="0"/>
            </w:pPr>
            <w:r>
              <w:rPr>
                <w:rFonts w:ascii="Times New Roman" w:hAnsi="Times New Roman"/>
                <w:sz w:val="24"/>
              </w:rPr>
              <w:t>de Vreugd et al. (2024)</w:t>
            </w:r>
          </w:p>
        </w:tc>
        <w:tc>
          <w:tcPr>
            <w:tcW w:type="dxa" w:w="5760"/>
            <w:tcBorders>
              <w:top w:sz="4" w:val="single" w:color="000000"/>
              <w:left w:sz="4" w:val="single" w:color="000000"/>
              <w:bottom w:sz="4" w:val="single" w:color="000000"/>
              <w:right w:sz="4" w:val="single" w:color="000000"/>
            </w:tcBorders>
          </w:tcPr>
          <w:p>
            <w:pPr>
              <w:spacing w:line="276" w:lineRule="auto" w:after="0"/>
            </w:pPr>
            <w:r>
              <w:rPr>
                <w:rFonts w:ascii="Times New Roman" w:hAnsi="Times New Roman"/>
                <w:sz w:val="24"/>
              </w:rPr>
              <w:t>Ch2 Sec 1.5; Ch2 Synthesis</w:t>
            </w:r>
          </w:p>
        </w:tc>
      </w:tr>
      <w:tr>
        <w:tc>
          <w:tcPr>
            <w:tcW w:type="dxa" w:w="3600"/>
            <w:tcBorders>
              <w:top w:sz="4" w:val="single" w:color="000000"/>
              <w:left w:sz="4" w:val="single" w:color="000000"/>
              <w:bottom w:sz="4" w:val="single" w:color="000000"/>
              <w:right w:sz="4" w:val="single" w:color="000000"/>
            </w:tcBorders>
          </w:tcPr>
          <w:p>
            <w:pPr>
              <w:spacing w:line="276" w:lineRule="auto" w:after="0"/>
            </w:pPr>
            <w:r>
              <w:rPr>
                <w:rFonts w:ascii="Times New Roman" w:hAnsi="Times New Roman"/>
                <w:sz w:val="24"/>
              </w:rPr>
              <w:t>García-Varela et al. (2025)</w:t>
            </w:r>
          </w:p>
        </w:tc>
        <w:tc>
          <w:tcPr>
            <w:tcW w:type="dxa" w:w="5760"/>
            <w:tcBorders>
              <w:top w:sz="4" w:val="single" w:color="000000"/>
              <w:left w:sz="4" w:val="single" w:color="000000"/>
              <w:bottom w:sz="4" w:val="single" w:color="000000"/>
              <w:right w:sz="4" w:val="single" w:color="000000"/>
            </w:tcBorders>
          </w:tcPr>
          <w:p>
            <w:pPr>
              <w:spacing w:line="276" w:lineRule="auto" w:after="0"/>
            </w:pPr>
            <w:r>
              <w:rPr>
                <w:rFonts w:ascii="Times New Roman" w:hAnsi="Times New Roman"/>
                <w:sz w:val="24"/>
              </w:rPr>
              <w:t>Ch2 Sec 1.3; Ch2 Synthesis</w:t>
            </w:r>
          </w:p>
        </w:tc>
      </w:tr>
      <w:tr>
        <w:tc>
          <w:tcPr>
            <w:tcW w:type="dxa" w:w="3600"/>
            <w:tcBorders>
              <w:top w:sz="4" w:val="single" w:color="000000"/>
              <w:left w:sz="4" w:val="single" w:color="000000"/>
              <w:bottom w:sz="4" w:val="single" w:color="000000"/>
              <w:right w:sz="4" w:val="single" w:color="000000"/>
            </w:tcBorders>
          </w:tcPr>
          <w:p>
            <w:pPr>
              <w:spacing w:line="276" w:lineRule="auto" w:after="0"/>
            </w:pPr>
            <w:r>
              <w:rPr>
                <w:rFonts w:ascii="Times New Roman" w:hAnsi="Times New Roman"/>
                <w:sz w:val="24"/>
              </w:rPr>
              <w:t>ISO/IEC (2011)</w:t>
            </w:r>
          </w:p>
        </w:tc>
        <w:tc>
          <w:tcPr>
            <w:tcW w:type="dxa" w:w="5760"/>
            <w:tcBorders>
              <w:top w:sz="4" w:val="single" w:color="000000"/>
              <w:left w:sz="4" w:val="single" w:color="000000"/>
              <w:bottom w:sz="4" w:val="single" w:color="000000"/>
              <w:right w:sz="4" w:val="single" w:color="000000"/>
            </w:tcBorders>
          </w:tcPr>
          <w:p>
            <w:pPr>
              <w:spacing w:line="276" w:lineRule="auto" w:after="0"/>
            </w:pPr>
            <w:r>
              <w:rPr>
                <w:rFonts w:ascii="Times New Roman" w:hAnsi="Times New Roman"/>
                <w:sz w:val="24"/>
              </w:rPr>
              <w:t>Ch1 Definition of Terms — ISO 25010</w:t>
            </w:r>
          </w:p>
        </w:tc>
      </w:tr>
      <w:tr>
        <w:tc>
          <w:tcPr>
            <w:tcW w:type="dxa" w:w="3600"/>
            <w:tcBorders>
              <w:top w:sz="4" w:val="single" w:color="000000"/>
              <w:left w:sz="4" w:val="single" w:color="000000"/>
              <w:bottom w:sz="4" w:val="single" w:color="000000"/>
              <w:right w:sz="4" w:val="single" w:color="000000"/>
            </w:tcBorders>
          </w:tcPr>
          <w:p>
            <w:pPr>
              <w:spacing w:line="276" w:lineRule="auto" w:after="0"/>
            </w:pPr>
            <w:r>
              <w:rPr>
                <w:rFonts w:ascii="Times New Roman" w:hAnsi="Times New Roman"/>
                <w:sz w:val="24"/>
              </w:rPr>
              <w:t>Jumao-as et al. (2025)</w:t>
            </w:r>
          </w:p>
        </w:tc>
        <w:tc>
          <w:tcPr>
            <w:tcW w:type="dxa" w:w="5760"/>
            <w:tcBorders>
              <w:top w:sz="4" w:val="single" w:color="000000"/>
              <w:left w:sz="4" w:val="single" w:color="000000"/>
              <w:bottom w:sz="4" w:val="single" w:color="000000"/>
              <w:right w:sz="4" w:val="single" w:color="000000"/>
            </w:tcBorders>
          </w:tcPr>
          <w:p>
            <w:pPr>
              <w:spacing w:line="276" w:lineRule="auto" w:after="0"/>
            </w:pPr>
            <w:r>
              <w:rPr>
                <w:rFonts w:ascii="Times New Roman" w:hAnsi="Times New Roman"/>
                <w:sz w:val="24"/>
              </w:rPr>
              <w:t>Ch2 Sec 1.4; Ch2 Synthesis</w:t>
            </w:r>
          </w:p>
        </w:tc>
      </w:tr>
      <w:tr>
        <w:tc>
          <w:tcPr>
            <w:tcW w:type="dxa" w:w="3600"/>
            <w:tcBorders>
              <w:top w:sz="4" w:val="single" w:color="000000"/>
              <w:left w:sz="4" w:val="single" w:color="000000"/>
              <w:bottom w:sz="4" w:val="single" w:color="000000"/>
              <w:right w:sz="4" w:val="single" w:color="000000"/>
            </w:tcBorders>
          </w:tcPr>
          <w:p>
            <w:pPr>
              <w:spacing w:line="276" w:lineRule="auto" w:after="0"/>
            </w:pPr>
            <w:r>
              <w:rPr>
                <w:rFonts w:ascii="Times New Roman" w:hAnsi="Times New Roman"/>
                <w:sz w:val="24"/>
              </w:rPr>
              <w:t>Kaliisa et al. (2024)</w:t>
            </w:r>
          </w:p>
        </w:tc>
        <w:tc>
          <w:tcPr>
            <w:tcW w:type="dxa" w:w="5760"/>
            <w:tcBorders>
              <w:top w:sz="4" w:val="single" w:color="000000"/>
              <w:left w:sz="4" w:val="single" w:color="000000"/>
              <w:bottom w:sz="4" w:val="single" w:color="000000"/>
              <w:right w:sz="4" w:val="single" w:color="000000"/>
            </w:tcBorders>
          </w:tcPr>
          <w:p>
            <w:pPr>
              <w:spacing w:line="276" w:lineRule="auto" w:after="0"/>
            </w:pPr>
            <w:r>
              <w:rPr>
                <w:rFonts w:ascii="Times New Roman" w:hAnsi="Times New Roman"/>
                <w:sz w:val="24"/>
              </w:rPr>
              <w:t>Ch2 Sec 1.5; Ch2 Synthesis</w:t>
            </w:r>
          </w:p>
        </w:tc>
      </w:tr>
      <w:tr>
        <w:tc>
          <w:tcPr>
            <w:tcW w:type="dxa" w:w="3600"/>
            <w:tcBorders>
              <w:top w:sz="4" w:val="single" w:color="000000"/>
              <w:left w:sz="4" w:val="single" w:color="000000"/>
              <w:bottom w:sz="4" w:val="single" w:color="000000"/>
              <w:right w:sz="4" w:val="single" w:color="000000"/>
            </w:tcBorders>
          </w:tcPr>
          <w:p>
            <w:pPr>
              <w:spacing w:line="276" w:lineRule="auto" w:after="0"/>
            </w:pPr>
            <w:r>
              <w:rPr>
                <w:rFonts w:ascii="Times New Roman" w:hAnsi="Times New Roman"/>
                <w:sz w:val="24"/>
              </w:rPr>
              <w:t>Marcos (2026) ⚠️</w:t>
            </w:r>
          </w:p>
        </w:tc>
        <w:tc>
          <w:tcPr>
            <w:tcW w:type="dxa" w:w="5760"/>
            <w:tcBorders>
              <w:top w:sz="4" w:val="single" w:color="000000"/>
              <w:left w:sz="4" w:val="single" w:color="000000"/>
              <w:bottom w:sz="4" w:val="single" w:color="000000"/>
              <w:right w:sz="4" w:val="single" w:color="000000"/>
            </w:tcBorders>
          </w:tcPr>
          <w:p>
            <w:pPr>
              <w:spacing w:line="276" w:lineRule="auto" w:after="0"/>
            </w:pPr>
            <w:r>
              <w:rPr>
                <w:rFonts w:ascii="Times New Roman" w:hAnsi="Times New Roman"/>
                <w:sz w:val="24"/>
              </w:rPr>
              <w:t>Ch1 Background — preprint only</w:t>
            </w:r>
          </w:p>
        </w:tc>
      </w:tr>
      <w:tr>
        <w:tc>
          <w:tcPr>
            <w:tcW w:type="dxa" w:w="3600"/>
            <w:tcBorders>
              <w:top w:sz="4" w:val="single" w:color="000000"/>
              <w:left w:sz="4" w:val="single" w:color="000000"/>
              <w:bottom w:sz="4" w:val="single" w:color="000000"/>
              <w:right w:sz="4" w:val="single" w:color="000000"/>
            </w:tcBorders>
          </w:tcPr>
          <w:p>
            <w:pPr>
              <w:spacing w:line="276" w:lineRule="auto" w:after="0"/>
            </w:pPr>
            <w:r>
              <w:rPr>
                <w:rFonts w:ascii="Times New Roman" w:hAnsi="Times New Roman"/>
                <w:sz w:val="24"/>
              </w:rPr>
              <w:t>Merino-Campos (2025)</w:t>
            </w:r>
          </w:p>
        </w:tc>
        <w:tc>
          <w:tcPr>
            <w:tcW w:type="dxa" w:w="5760"/>
            <w:tcBorders>
              <w:top w:sz="4" w:val="single" w:color="000000"/>
              <w:left w:sz="4" w:val="single" w:color="000000"/>
              <w:bottom w:sz="4" w:val="single" w:color="000000"/>
              <w:right w:sz="4" w:val="single" w:color="000000"/>
            </w:tcBorders>
          </w:tcPr>
          <w:p>
            <w:pPr>
              <w:spacing w:line="276" w:lineRule="auto" w:after="0"/>
            </w:pPr>
            <w:r>
              <w:rPr>
                <w:rFonts w:ascii="Times New Roman" w:hAnsi="Times New Roman"/>
                <w:sz w:val="24"/>
              </w:rPr>
              <w:t>Ch1 Background</w:t>
            </w:r>
          </w:p>
        </w:tc>
      </w:tr>
      <w:tr>
        <w:tc>
          <w:tcPr>
            <w:tcW w:type="dxa" w:w="3600"/>
            <w:tcBorders>
              <w:top w:sz="4" w:val="single" w:color="000000"/>
              <w:left w:sz="4" w:val="single" w:color="000000"/>
              <w:bottom w:sz="4" w:val="single" w:color="000000"/>
              <w:right w:sz="4" w:val="single" w:color="000000"/>
            </w:tcBorders>
          </w:tcPr>
          <w:p>
            <w:pPr>
              <w:spacing w:line="276" w:lineRule="auto" w:after="0"/>
            </w:pPr>
            <w:r>
              <w:rPr>
                <w:rFonts w:ascii="Times New Roman" w:hAnsi="Times New Roman"/>
                <w:sz w:val="24"/>
              </w:rPr>
              <w:t>Persky &amp; Hughes (2022)</w:t>
            </w:r>
          </w:p>
        </w:tc>
        <w:tc>
          <w:tcPr>
            <w:tcW w:type="dxa" w:w="5760"/>
            <w:tcBorders>
              <w:top w:sz="4" w:val="single" w:color="000000"/>
              <w:left w:sz="4" w:val="single" w:color="000000"/>
              <w:bottom w:sz="4" w:val="single" w:color="000000"/>
              <w:right w:sz="4" w:val="single" w:color="000000"/>
            </w:tcBorders>
          </w:tcPr>
          <w:p>
            <w:pPr>
              <w:spacing w:line="276" w:lineRule="auto" w:after="0"/>
            </w:pPr>
            <w:r>
              <w:rPr>
                <w:rFonts w:ascii="Times New Roman" w:hAnsi="Times New Roman"/>
                <w:sz w:val="24"/>
              </w:rPr>
              <w:t>Ch1 Definition of Terms; Ch2 Sec 1.4; Ch2 Synthesis</w:t>
            </w:r>
          </w:p>
        </w:tc>
      </w:tr>
      <w:tr>
        <w:tc>
          <w:tcPr>
            <w:tcW w:type="dxa" w:w="3600"/>
            <w:tcBorders>
              <w:top w:sz="4" w:val="single" w:color="000000"/>
              <w:left w:sz="4" w:val="single" w:color="000000"/>
              <w:bottom w:sz="4" w:val="single" w:color="000000"/>
              <w:right w:sz="4" w:val="single" w:color="000000"/>
            </w:tcBorders>
          </w:tcPr>
          <w:p>
            <w:pPr>
              <w:spacing w:line="276" w:lineRule="auto" w:after="0"/>
            </w:pPr>
            <w:r>
              <w:rPr>
                <w:rFonts w:ascii="Times New Roman" w:hAnsi="Times New Roman"/>
                <w:sz w:val="24"/>
              </w:rPr>
              <w:t>Ramesh &amp; Sanampudi (2022)</w:t>
            </w:r>
          </w:p>
        </w:tc>
        <w:tc>
          <w:tcPr>
            <w:tcW w:type="dxa" w:w="5760"/>
            <w:tcBorders>
              <w:top w:sz="4" w:val="single" w:color="000000"/>
              <w:left w:sz="4" w:val="single" w:color="000000"/>
              <w:bottom w:sz="4" w:val="single" w:color="000000"/>
              <w:right w:sz="4" w:val="single" w:color="000000"/>
            </w:tcBorders>
          </w:tcPr>
          <w:p>
            <w:pPr>
              <w:spacing w:line="276" w:lineRule="auto" w:after="0"/>
            </w:pPr>
            <w:r>
              <w:rPr>
                <w:rFonts w:ascii="Times New Roman" w:hAnsi="Times New Roman"/>
                <w:sz w:val="24"/>
              </w:rPr>
              <w:t>Ch1 Definition of Terms; Ch2 Sec 1.3; Ch2 Synthesis</w:t>
            </w:r>
          </w:p>
        </w:tc>
      </w:tr>
      <w:tr>
        <w:tc>
          <w:tcPr>
            <w:tcW w:type="dxa" w:w="3600"/>
            <w:tcBorders>
              <w:top w:sz="4" w:val="single" w:color="000000"/>
              <w:left w:sz="4" w:val="single" w:color="000000"/>
              <w:bottom w:sz="4" w:val="single" w:color="000000"/>
              <w:right w:sz="4" w:val="single" w:color="000000"/>
            </w:tcBorders>
          </w:tcPr>
          <w:p>
            <w:pPr>
              <w:spacing w:line="276" w:lineRule="auto" w:after="0"/>
            </w:pPr>
            <w:r>
              <w:rPr>
                <w:rFonts w:ascii="Times New Roman" w:hAnsi="Times New Roman"/>
                <w:sz w:val="24"/>
              </w:rPr>
              <w:t>Susnjak et al. (2022)</w:t>
            </w:r>
          </w:p>
        </w:tc>
        <w:tc>
          <w:tcPr>
            <w:tcW w:type="dxa" w:w="5760"/>
            <w:tcBorders>
              <w:top w:sz="4" w:val="single" w:color="000000"/>
              <w:left w:sz="4" w:val="single" w:color="000000"/>
              <w:bottom w:sz="4" w:val="single" w:color="000000"/>
              <w:right w:sz="4" w:val="single" w:color="000000"/>
            </w:tcBorders>
          </w:tcPr>
          <w:p>
            <w:pPr>
              <w:spacing w:line="276" w:lineRule="auto" w:after="0"/>
            </w:pPr>
            <w:r>
              <w:rPr>
                <w:rFonts w:ascii="Times New Roman" w:hAnsi="Times New Roman"/>
                <w:sz w:val="24"/>
              </w:rPr>
              <w:t>Ch1 Definition of Terms; Ch2 Sec 1.4; Ch2 Sec 1.5; Ch2 Synthesis</w:t>
            </w:r>
          </w:p>
        </w:tc>
      </w:tr>
      <w:tr>
        <w:tc>
          <w:tcPr>
            <w:tcW w:type="dxa" w:w="3600"/>
            <w:tcBorders>
              <w:top w:sz="4" w:val="single" w:color="000000"/>
              <w:left w:sz="4" w:val="single" w:color="000000"/>
              <w:bottom w:sz="4" w:val="single" w:color="000000"/>
              <w:right w:sz="4" w:val="single" w:color="000000"/>
            </w:tcBorders>
          </w:tcPr>
          <w:p>
            <w:pPr>
              <w:spacing w:line="276" w:lineRule="auto" w:after="0"/>
            </w:pPr>
            <w:r>
              <w:rPr>
                <w:rFonts w:ascii="Times New Roman" w:hAnsi="Times New Roman"/>
                <w:sz w:val="24"/>
              </w:rPr>
              <w:t>Gajardo &amp; Balahadia (2025)</w:t>
            </w:r>
          </w:p>
        </w:tc>
        <w:tc>
          <w:tcPr>
            <w:tcW w:type="dxa" w:w="5760"/>
            <w:tcBorders>
              <w:top w:sz="4" w:val="single" w:color="000000"/>
              <w:left w:sz="4" w:val="single" w:color="000000"/>
              <w:bottom w:sz="4" w:val="single" w:color="000000"/>
              <w:right w:sz="4" w:val="single" w:color="000000"/>
            </w:tcBorders>
          </w:tcPr>
          <w:p>
            <w:pPr>
              <w:spacing w:line="276" w:lineRule="auto" w:after="0"/>
            </w:pPr>
            <w:r>
              <w:rPr>
                <w:rFonts w:ascii="Times New Roman" w:hAnsi="Times New Roman"/>
                <w:sz w:val="24"/>
              </w:rPr>
              <w:t>Ch2 Sec 1.5; Ch2 Synthesis</w:t>
            </w:r>
          </w:p>
        </w:tc>
      </w:tr>
    </w:tbl>
    <w:sectPr w:rsidR="00FC693F" w:rsidRPr="0006063C" w:rsidSect="00034616">
      <w:pgSz w:w="12240" w:h="15840"/>
      <w:pgMar w:top="1440" w:right="1440" w:bottom="1440" w:left="216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