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D32B19">
      <w:pPr>
        <w:jc w:val="center"/>
        <w:rPr>
          <w:rFonts w:hint="default" w:ascii="Times New Roman" w:hAnsi="Times New Roman" w:cs="Times New Roman"/>
          <w:b/>
          <w:bCs/>
        </w:rPr>
      </w:pPr>
    </w:p>
    <w:p w14:paraId="02CF1BDF">
      <w:pPr>
        <w:jc w:val="center"/>
        <w:rPr>
          <w:rFonts w:hint="default" w:ascii="Times New Roman" w:hAnsi="Times New Roman" w:cs="Times New Roman"/>
          <w:b/>
          <w:bCs/>
        </w:rPr>
      </w:pPr>
      <w:r>
        <w:rPr>
          <w:rFonts w:hint="default" w:ascii="Times New Roman" w:hAnsi="Times New Roman" w:cs="Times New Roman"/>
          <w:b/>
          <w:bCs/>
        </w:rPr>
        <w:t>Chapter 2</w:t>
      </w:r>
    </w:p>
    <w:p w14:paraId="4DEEAAF4">
      <w:pPr>
        <w:jc w:val="center"/>
        <w:rPr>
          <w:rFonts w:hint="default" w:ascii="Times New Roman" w:hAnsi="Times New Roman" w:cs="Times New Roman"/>
        </w:rPr>
      </w:pPr>
      <w:r>
        <w:rPr>
          <w:rFonts w:hint="default" w:ascii="Times New Roman" w:hAnsi="Times New Roman" w:cs="Times New Roman"/>
          <w:b/>
          <w:bCs/>
        </w:rPr>
        <w:br w:type="textWrapping"/>
      </w:r>
      <w:r>
        <w:rPr>
          <w:rFonts w:hint="default" w:ascii="Times New Roman" w:hAnsi="Times New Roman" w:cs="Times New Roman"/>
          <w:b/>
          <w:bCs/>
        </w:rPr>
        <w:t>REVIEW OF RELATED LITERATURE AND STUDIES</w:t>
      </w:r>
    </w:p>
    <w:p w14:paraId="58213099">
      <w:pPr>
        <w:ind w:firstLine="720"/>
        <w:rPr>
          <w:rFonts w:hint="default" w:ascii="Times New Roman" w:hAnsi="Times New Roman" w:cs="Times New Roman"/>
        </w:rPr>
      </w:pPr>
      <w:r>
        <w:rPr>
          <w:rFonts w:hint="default" w:ascii="Times New Roman" w:hAnsi="Times New Roman" w:cs="Times New Roman"/>
        </w:rPr>
        <w:t>This chapter presents the review of related literature and studies that are relevant to the development of the A.I.M.S. (Automated Intervention and Mastery System). The discussion includes both foreign and local sources that support the system’s core features such as module management, AI-driven assessment, adaptive remediation, and performance monitoring. These references provide a theoretical and technical foundation for the study and justify the need for the proposed system.</w:t>
      </w:r>
    </w:p>
    <w:p w14:paraId="0C52553F">
      <w:pPr>
        <w:rPr>
          <w:rFonts w:hint="default" w:ascii="Times New Roman" w:hAnsi="Times New Roman" w:cs="Times New Roman"/>
        </w:rPr>
      </w:pPr>
      <w:r>
        <w:rPr>
          <w:rFonts w:hint="default" w:ascii="Times New Roman" w:hAnsi="Times New Roman" w:cs="Times New Roman"/>
          <w:b/>
          <w:bCs/>
        </w:rPr>
        <w:t>Web-Based Centralized Digital Library for Module Distribution and Management</w:t>
      </w:r>
    </w:p>
    <w:p w14:paraId="4D9D086F">
      <w:pPr>
        <w:ind w:firstLine="720"/>
        <w:rPr>
          <w:rFonts w:hint="default" w:ascii="Times New Roman" w:hAnsi="Times New Roman" w:cs="Times New Roman"/>
        </w:rPr>
      </w:pPr>
      <w:r>
        <w:rPr>
          <w:rFonts w:hint="default" w:ascii="Times New Roman" w:hAnsi="Times New Roman" w:cs="Times New Roman"/>
        </w:rPr>
        <w:t>The concept of a centralized digital library has become an essential component of modern educational systems. According to Witten and Frank (2005), digital libraries provide structured storage, retrieval, and dissemination of educational resources, making them accessible to users regardless of time and location. Web-based platforms enhance this capability by allowing real-time updates and easier content management.</w:t>
      </w:r>
    </w:p>
    <w:p w14:paraId="1C596D28">
      <w:pPr>
        <w:ind w:firstLine="720"/>
        <w:rPr>
          <w:rFonts w:hint="default" w:ascii="Times New Roman" w:hAnsi="Times New Roman" w:cs="Times New Roman"/>
        </w:rPr>
      </w:pPr>
      <w:r>
        <w:rPr>
          <w:rFonts w:hint="default" w:ascii="Times New Roman" w:hAnsi="Times New Roman" w:cs="Times New Roman"/>
        </w:rPr>
        <w:t>In the context of education, centralized systems help standardize the distribution of learning materials. Studies have shown that schools utilizing digital repositories improve accessibility and reduce redundancy in instructional materials. In the Philippines, the adoption of digital module distribution increased during the COVID-19 pandemic, highlighting the importance of having a reliable and organized system for content delivery (Bustillo &amp; Aguilos, 2022).</w:t>
      </w:r>
    </w:p>
    <w:p w14:paraId="2DBD6169">
      <w:pPr>
        <w:ind w:firstLine="720"/>
        <w:rPr>
          <w:rFonts w:hint="default" w:ascii="Times New Roman" w:hAnsi="Times New Roman" w:cs="Times New Roman"/>
        </w:rPr>
      </w:pPr>
      <w:r>
        <w:rPr>
          <w:rFonts w:hint="default" w:ascii="Times New Roman" w:hAnsi="Times New Roman" w:cs="Times New Roman"/>
        </w:rPr>
        <w:t>Furthermore, web-based module management systems enable teachers to upload, categorize, and update materials efficiently. These systems also support tracking of usage and access, which helps educators monitor student engagement. The integration of such a feature in A.I.M.S. ensures that both teachers and students benefit from a streamlined and organized learning resource environment.</w:t>
      </w:r>
    </w:p>
    <w:p w14:paraId="554ED6BB">
      <w:pPr>
        <w:rPr>
          <w:rFonts w:hint="default" w:ascii="Times New Roman" w:hAnsi="Times New Roman" w:cs="Times New Roman"/>
        </w:rPr>
      </w:pPr>
    </w:p>
    <w:p w14:paraId="4C9098C1">
      <w:pPr>
        <w:rPr>
          <w:rFonts w:hint="default" w:ascii="Times New Roman" w:hAnsi="Times New Roman" w:cs="Times New Roman"/>
        </w:rPr>
      </w:pPr>
      <w:r>
        <w:rPr>
          <w:rFonts w:hint="default" w:ascii="Times New Roman" w:hAnsi="Times New Roman" w:cs="Times New Roman"/>
          <w:b/>
          <w:bCs/>
        </w:rPr>
        <w:t>AI-Powered Quiz Generator with Instructor Validation Controls</w:t>
      </w:r>
    </w:p>
    <w:p w14:paraId="6240EF44">
      <w:pPr>
        <w:ind w:firstLine="720"/>
        <w:rPr>
          <w:rFonts w:hint="default" w:ascii="Times New Roman" w:hAnsi="Times New Roman" w:cs="Times New Roman"/>
        </w:rPr>
      </w:pPr>
      <w:r>
        <w:rPr>
          <w:rFonts w:hint="default" w:ascii="Times New Roman" w:hAnsi="Times New Roman" w:cs="Times New Roman"/>
        </w:rPr>
        <w:t>Artificial Intelligence has significantly influenced assessment methods in education. AI-powered quiz generation utilizes natural language processing and machine learning techniques to automatically create assessment items based on given content (Russell &amp; Norvig, 2020). This innovation reduces the workload of educators while maintaining assessment quality.</w:t>
      </w:r>
    </w:p>
    <w:p w14:paraId="7027E4A8">
      <w:pPr>
        <w:rPr>
          <w:rFonts w:hint="default" w:ascii="Times New Roman" w:hAnsi="Times New Roman" w:cs="Times New Roman"/>
        </w:rPr>
      </w:pPr>
      <w:r>
        <w:rPr>
          <w:rFonts w:hint="default" w:ascii="Times New Roman" w:hAnsi="Times New Roman" w:cs="Times New Roman"/>
        </w:rPr>
        <w:t>Research indicates that automated question generation systems can produce various types of questions, including multiple-choice, true/false, and short-answer formats. These systems are particularly useful in large-scale educational settings where manual test creation is time-consuming. However, studies emphasize the importance of instructor validation to ensure accuracy, relevance, and alignment with learning competencies.</w:t>
      </w:r>
    </w:p>
    <w:p w14:paraId="457C02E2">
      <w:pPr>
        <w:ind w:firstLine="720"/>
        <w:rPr>
          <w:rFonts w:hint="default" w:ascii="Times New Roman" w:hAnsi="Times New Roman" w:cs="Times New Roman"/>
        </w:rPr>
      </w:pPr>
      <w:r>
        <w:rPr>
          <w:rFonts w:hint="default" w:ascii="Times New Roman" w:hAnsi="Times New Roman" w:cs="Times New Roman"/>
        </w:rPr>
        <w:t>Incorporating instructor validation controls allows teachers to review, edit, and approve AI-generated questions before deployment. This hybrid approach combines the efficiency of automation with the expertise of educators. In the Philippine setting, where teachers often face heavy workloads, such a feature can significantly improve productivity while maintaining academic standards.</w:t>
      </w:r>
    </w:p>
    <w:p w14:paraId="418769B3">
      <w:pPr>
        <w:rPr>
          <w:rFonts w:hint="default" w:ascii="Times New Roman" w:hAnsi="Times New Roman" w:cs="Times New Roman"/>
        </w:rPr>
      </w:pPr>
    </w:p>
    <w:p w14:paraId="02EECA74">
      <w:pPr>
        <w:rPr>
          <w:rFonts w:hint="default" w:ascii="Times New Roman" w:hAnsi="Times New Roman" w:cs="Times New Roman"/>
        </w:rPr>
      </w:pPr>
      <w:r>
        <w:rPr>
          <w:rFonts w:hint="default" w:ascii="Times New Roman" w:hAnsi="Times New Roman" w:cs="Times New Roman"/>
          <w:b/>
          <w:bCs/>
        </w:rPr>
        <w:t>Adaptive Mastery-Lock System for Automated Student Remediation</w:t>
      </w:r>
    </w:p>
    <w:p w14:paraId="1DD97020">
      <w:pPr>
        <w:ind w:firstLine="720"/>
        <w:rPr>
          <w:rFonts w:hint="default" w:ascii="Times New Roman" w:hAnsi="Times New Roman" w:cs="Times New Roman"/>
        </w:rPr>
      </w:pPr>
      <w:r>
        <w:rPr>
          <w:rFonts w:hint="default" w:ascii="Times New Roman" w:hAnsi="Times New Roman" w:cs="Times New Roman"/>
        </w:rPr>
        <w:t>Adaptive learning systems are designed to personalize education based on individual student performance. One widely recognized approach is mastery-based learning, where students must demonstrate a certain level of understanding before progressing to the next topic (Aleven et al., 2016).</w:t>
      </w:r>
    </w:p>
    <w:p w14:paraId="39AF4702">
      <w:pPr>
        <w:ind w:firstLine="720"/>
        <w:rPr>
          <w:rFonts w:hint="default" w:ascii="Times New Roman" w:hAnsi="Times New Roman" w:cs="Times New Roman"/>
        </w:rPr>
      </w:pPr>
      <w:r>
        <w:rPr>
          <w:rFonts w:hint="default" w:ascii="Times New Roman" w:hAnsi="Times New Roman" w:cs="Times New Roman"/>
        </w:rPr>
        <w:t>The mastery-lock mechanism ensures that students achieve a predefined performance threshold, such as 70%, before unlocking subsequent lessons. This approach has been shown to improve knowledge retention and conceptual understanding. Studies suggest that adaptive systems help identify learning gaps and provide targeted remediation, which enhances overall academic performance.</w:t>
      </w:r>
    </w:p>
    <w:p w14:paraId="1443D7DE">
      <w:pPr>
        <w:ind w:firstLine="720"/>
        <w:rPr>
          <w:rFonts w:hint="default" w:ascii="Times New Roman" w:hAnsi="Times New Roman" w:cs="Times New Roman"/>
        </w:rPr>
      </w:pPr>
      <w:r>
        <w:rPr>
          <w:rFonts w:hint="default" w:ascii="Times New Roman" w:hAnsi="Times New Roman" w:cs="Times New Roman"/>
        </w:rPr>
        <w:t>Dynamic remediation, supported by AI, further strengthens this feature by automatically adjusting the difficulty and type of content presented to students. In developing countries like the Philippines, where classroom sizes are large and individualized instruction is limited, adaptive systems offer a practical solution for personalized learning. The implementation of this feature in A.I.M.S. supports competency-based progression and ensures that students build a strong foundation before advancing.</w:t>
      </w:r>
    </w:p>
    <w:p w14:paraId="09BD25B6">
      <w:pPr>
        <w:rPr>
          <w:rFonts w:hint="default" w:ascii="Times New Roman" w:hAnsi="Times New Roman" w:cs="Times New Roman"/>
        </w:rPr>
      </w:pPr>
    </w:p>
    <w:p w14:paraId="385C643A">
      <w:pPr>
        <w:rPr>
          <w:rFonts w:hint="default" w:ascii="Times New Roman" w:hAnsi="Times New Roman" w:cs="Times New Roman"/>
        </w:rPr>
      </w:pPr>
      <w:r>
        <w:rPr>
          <w:rFonts w:hint="default" w:ascii="Times New Roman" w:hAnsi="Times New Roman" w:cs="Times New Roman"/>
          <w:b/>
          <w:bCs/>
        </w:rPr>
        <w:t>Web-Based Student Performance Dashboard for Real-Time Academic Tracking</w:t>
      </w:r>
    </w:p>
    <w:p w14:paraId="4B7DC5E2">
      <w:pPr>
        <w:ind w:firstLine="720"/>
        <w:rPr>
          <w:rFonts w:hint="default" w:ascii="Times New Roman" w:hAnsi="Times New Roman" w:cs="Times New Roman"/>
        </w:rPr>
      </w:pPr>
      <w:r>
        <w:rPr>
          <w:rFonts w:hint="default" w:ascii="Times New Roman" w:hAnsi="Times New Roman" w:cs="Times New Roman"/>
        </w:rPr>
        <w:t>Learning analytics and performance dashboards play a crucial role in modern educational systems. According to Gasevic et al. (2019), dashboards provide visual representations of student data, enabling educators to monitor progress, identify trends, and make data-driven decisions.</w:t>
      </w:r>
    </w:p>
    <w:p w14:paraId="331D4D83">
      <w:pPr>
        <w:ind w:firstLine="720"/>
        <w:rPr>
          <w:rFonts w:hint="default" w:ascii="Times New Roman" w:hAnsi="Times New Roman" w:cs="Times New Roman"/>
        </w:rPr>
      </w:pPr>
      <w:r>
        <w:rPr>
          <w:rFonts w:hint="default" w:ascii="Times New Roman" w:hAnsi="Times New Roman" w:cs="Times New Roman"/>
        </w:rPr>
        <w:t>A web-based dashboard allows real-time tracking of key performance indicators such as quiz scores, completion rates, and engagement levels. This feature helps teachers quickly identify students who need intervention and adjust their teaching strategies accordingly. For students, dashboards promote self-awareness by providing insights into their strengths and areas for improvement.</w:t>
      </w:r>
    </w:p>
    <w:p w14:paraId="06336F56">
      <w:pPr>
        <w:ind w:firstLine="720"/>
        <w:rPr>
          <w:rFonts w:hint="default" w:ascii="Times New Roman" w:hAnsi="Times New Roman" w:cs="Times New Roman"/>
        </w:rPr>
      </w:pPr>
      <w:r>
        <w:rPr>
          <w:rFonts w:hint="default" w:ascii="Times New Roman" w:hAnsi="Times New Roman" w:cs="Times New Roman"/>
        </w:rPr>
        <w:t>In the Philippine educational context, where manual tracking is still common, the integration of automated dashboards can significantly improve efficiency and accuracy. Studies have shown that the use of learning analytics enhances both teaching effectiveness and student outcomes. By incorporating this feature, A.I.M.S. supports informed decision-making and promotes a more responsive learning environment.</w:t>
      </w:r>
    </w:p>
    <w:p w14:paraId="7E42FA6C">
      <w:pPr>
        <w:rPr>
          <w:rFonts w:hint="default" w:ascii="Times New Roman" w:hAnsi="Times New Roman" w:cs="Times New Roman"/>
        </w:rPr>
      </w:pPr>
    </w:p>
    <w:p w14:paraId="6A8E0CAC">
      <w:pPr>
        <w:rPr>
          <w:rFonts w:hint="default" w:ascii="Times New Roman" w:hAnsi="Times New Roman" w:cs="Times New Roman"/>
        </w:rPr>
      </w:pPr>
      <w:r>
        <w:rPr>
          <w:rFonts w:hint="default" w:ascii="Times New Roman" w:hAnsi="Times New Roman" w:cs="Times New Roman"/>
          <w:b/>
          <w:bCs/>
        </w:rPr>
        <w:t>Synthesis of the Reviewed Literature</w:t>
      </w:r>
    </w:p>
    <w:p w14:paraId="66892409">
      <w:pPr>
        <w:ind w:firstLine="720"/>
        <w:rPr>
          <w:rFonts w:hint="default" w:ascii="Times New Roman" w:hAnsi="Times New Roman" w:cs="Times New Roman"/>
        </w:rPr>
      </w:pPr>
      <w:r>
        <w:rPr>
          <w:rFonts w:hint="default" w:ascii="Times New Roman" w:hAnsi="Times New Roman" w:cs="Times New Roman"/>
        </w:rPr>
        <w:t>The reviewed literature highlights the increasing role of technology, particularly AI, in transforming educational systems. Centralized digital libraries improve access to learning materials, while AI-powered quiz generators streamline assessment processes. Adaptive mastery systems ensure personalized learning and competency development, and performance dashboards enable real-time monitoring and data-driven instruction.</w:t>
      </w:r>
    </w:p>
    <w:p w14:paraId="36384948">
      <w:pPr>
        <w:ind w:firstLine="720"/>
        <w:rPr>
          <w:rFonts w:hint="default" w:ascii="Times New Roman" w:hAnsi="Times New Roman" w:cs="Times New Roman"/>
        </w:rPr>
      </w:pPr>
      <w:r>
        <w:rPr>
          <w:rFonts w:hint="default" w:ascii="Times New Roman" w:hAnsi="Times New Roman" w:cs="Times New Roman"/>
        </w:rPr>
        <w:t>These studies collectively support the development of A.I.M.S. as an integrated platform that addresses existing challenges in the Philippine educational system. By combining these technical features, the proposed system aims to enhance teaching efficiency, improve student learning outcomes, and promote a more structured and intelligent approach to education.</w:t>
      </w:r>
    </w:p>
    <w:p w14:paraId="28602B18">
      <w:pPr>
        <w:ind w:firstLine="720"/>
        <w:rPr>
          <w:rFonts w:hint="default" w:ascii="Times New Roman" w:hAnsi="Times New Roman" w:cs="Times New Roman"/>
        </w:rPr>
      </w:pPr>
      <w:r>
        <w:rPr>
          <w:rFonts w:hint="default" w:ascii="Times New Roman" w:hAnsi="Times New Roman" w:cs="Times New Roman"/>
        </w:rPr>
        <w:t>Overall, the literature and studies reviewed in this chapter provide strong justification for the design and implementation of the A.I.M.S. platform. They demonstrate that the integration of AI and web-based technologies is both feasible and beneficial in addressing current educational challenges.</w:t>
      </w:r>
    </w:p>
    <w:p w14:paraId="0C620CB1">
      <w:pPr>
        <w:rPr>
          <w:rFonts w:hint="default" w:ascii="Times New Roman" w:hAnsi="Times New Roman" w:cs="Times New Roman"/>
        </w:rPr>
      </w:pPr>
      <w:r>
        <w:rPr>
          <w:rFonts w:hint="default" w:ascii="Times New Roman" w:hAnsi="Times New Roman" w:cs="Times New Roman"/>
          <w:b/>
          <w:bCs/>
        </w:rPr>
        <w:t>Table 1</w:t>
      </w:r>
      <w:r>
        <w:rPr>
          <w:rFonts w:hint="default" w:ascii="Times New Roman" w:hAnsi="Times New Roman" w:cs="Times New Roman"/>
          <w:b/>
          <w:bCs/>
        </w:rPr>
        <w:br w:type="textWrapping"/>
      </w:r>
      <w:r>
        <w:rPr>
          <w:rFonts w:hint="default" w:ascii="Times New Roman" w:hAnsi="Times New Roman" w:cs="Times New Roman"/>
          <w:b/>
          <w:bCs/>
        </w:rPr>
        <w:t>Matrix of Related Literature and Studies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965"/>
        <w:gridCol w:w="1692"/>
        <w:gridCol w:w="1620"/>
        <w:gridCol w:w="1447"/>
        <w:gridCol w:w="1726"/>
      </w:tblGrid>
      <w:tr w14:paraId="67ED38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749D1D2E">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14:ligatures w14:val="standardContextual"/>
              </w:rPr>
              <w:t>RRL / Studies</w:t>
            </w:r>
          </w:p>
        </w:tc>
        <w:tc>
          <w:tcPr>
            <w:tcW w:w="0" w:type="auto"/>
            <w:shd w:val="clear"/>
            <w:vAlign w:val="center"/>
          </w:tcPr>
          <w:p w14:paraId="379C0439">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14:ligatures w14:val="standardContextual"/>
              </w:rPr>
              <w:t>Centralized Digital Library</w:t>
            </w:r>
          </w:p>
        </w:tc>
        <w:tc>
          <w:tcPr>
            <w:tcW w:w="0" w:type="auto"/>
            <w:shd w:val="clear"/>
            <w:vAlign w:val="center"/>
          </w:tcPr>
          <w:p w14:paraId="56379F4C">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14:ligatures w14:val="standardContextual"/>
              </w:rPr>
              <w:t>AI-Powered Quiz Generator</w:t>
            </w:r>
          </w:p>
        </w:tc>
        <w:tc>
          <w:tcPr>
            <w:tcW w:w="0" w:type="auto"/>
            <w:shd w:val="clear"/>
            <w:vAlign w:val="center"/>
          </w:tcPr>
          <w:p w14:paraId="76115A18">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14:ligatures w14:val="standardContextual"/>
              </w:rPr>
              <w:t>Adaptive Mastery System</w:t>
            </w:r>
          </w:p>
        </w:tc>
        <w:tc>
          <w:tcPr>
            <w:tcW w:w="0" w:type="auto"/>
            <w:shd w:val="clear"/>
            <w:vAlign w:val="center"/>
          </w:tcPr>
          <w:p w14:paraId="550F5F3A">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14:ligatures w14:val="standardContextual"/>
              </w:rPr>
              <w:t>Performance Dashboard</w:t>
            </w:r>
          </w:p>
        </w:tc>
      </w:tr>
      <w:tr w14:paraId="2EFCBC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4E9B27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14:ligatures w14:val="standardContextual"/>
              </w:rPr>
              <w:t>Tus et al. (2021) – LMS and Academic Performance in the Philippines</w:t>
            </w:r>
          </w:p>
        </w:tc>
        <w:tc>
          <w:tcPr>
            <w:tcW w:w="0" w:type="auto"/>
            <w:shd w:val="clear"/>
            <w:vAlign w:val="center"/>
          </w:tcPr>
          <w:p w14:paraId="382785F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14:ligatures w14:val="standardContextual"/>
              </w:rPr>
              <w:t>✓</w:t>
            </w:r>
          </w:p>
        </w:tc>
        <w:tc>
          <w:tcPr>
            <w:tcW w:w="0" w:type="auto"/>
            <w:shd w:val="clear"/>
            <w:vAlign w:val="center"/>
          </w:tcPr>
          <w:p w14:paraId="3B46AA6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14:ligatures w14:val="standardContextual"/>
              </w:rPr>
              <w:t>✕</w:t>
            </w:r>
          </w:p>
        </w:tc>
        <w:tc>
          <w:tcPr>
            <w:tcW w:w="0" w:type="auto"/>
            <w:shd w:val="clear"/>
            <w:vAlign w:val="center"/>
          </w:tcPr>
          <w:p w14:paraId="39C9644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14:ligatures w14:val="standardContextual"/>
              </w:rPr>
              <w:t>✕</w:t>
            </w:r>
          </w:p>
        </w:tc>
        <w:tc>
          <w:tcPr>
            <w:tcW w:w="0" w:type="auto"/>
            <w:shd w:val="clear"/>
            <w:vAlign w:val="center"/>
          </w:tcPr>
          <w:p w14:paraId="60D7569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14:ligatures w14:val="standardContextual"/>
              </w:rPr>
              <w:t>✓</w:t>
            </w:r>
          </w:p>
        </w:tc>
      </w:tr>
      <w:tr w14:paraId="143D61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7D476E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14:ligatures w14:val="standardContextual"/>
              </w:rPr>
              <w:t>Borabo et al. (2024) – LMS in Philippine Secondary Schools</w:t>
            </w:r>
          </w:p>
        </w:tc>
        <w:tc>
          <w:tcPr>
            <w:tcW w:w="0" w:type="auto"/>
            <w:shd w:val="clear"/>
            <w:vAlign w:val="center"/>
          </w:tcPr>
          <w:p w14:paraId="2C071D6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14:ligatures w14:val="standardContextual"/>
              </w:rPr>
              <w:t>✓</w:t>
            </w:r>
          </w:p>
        </w:tc>
        <w:tc>
          <w:tcPr>
            <w:tcW w:w="0" w:type="auto"/>
            <w:shd w:val="clear"/>
            <w:vAlign w:val="center"/>
          </w:tcPr>
          <w:p w14:paraId="5B8771D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14:ligatures w14:val="standardContextual"/>
              </w:rPr>
              <w:t>✓</w:t>
            </w:r>
          </w:p>
        </w:tc>
        <w:tc>
          <w:tcPr>
            <w:tcW w:w="0" w:type="auto"/>
            <w:shd w:val="clear"/>
            <w:vAlign w:val="center"/>
          </w:tcPr>
          <w:p w14:paraId="44D9664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14:ligatures w14:val="standardContextual"/>
              </w:rPr>
              <w:t>✕</w:t>
            </w:r>
          </w:p>
        </w:tc>
        <w:tc>
          <w:tcPr>
            <w:tcW w:w="0" w:type="auto"/>
            <w:shd w:val="clear"/>
            <w:vAlign w:val="center"/>
          </w:tcPr>
          <w:p w14:paraId="7EA49A5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14:ligatures w14:val="standardContextual"/>
              </w:rPr>
              <w:t>✓</w:t>
            </w:r>
          </w:p>
        </w:tc>
      </w:tr>
      <w:tr w14:paraId="418AC6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987869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14:ligatures w14:val="standardContextual"/>
              </w:rPr>
              <w:t>Balase &amp; Paglinawan (2025) – DepEd LMS Integration</w:t>
            </w:r>
          </w:p>
        </w:tc>
        <w:tc>
          <w:tcPr>
            <w:tcW w:w="0" w:type="auto"/>
            <w:shd w:val="clear"/>
            <w:vAlign w:val="center"/>
          </w:tcPr>
          <w:p w14:paraId="0016C64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14:ligatures w14:val="standardContextual"/>
              </w:rPr>
              <w:t>✓</w:t>
            </w:r>
          </w:p>
        </w:tc>
        <w:tc>
          <w:tcPr>
            <w:tcW w:w="0" w:type="auto"/>
            <w:shd w:val="clear"/>
            <w:vAlign w:val="center"/>
          </w:tcPr>
          <w:p w14:paraId="7701ED1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14:ligatures w14:val="standardContextual"/>
              </w:rPr>
              <w:t>✕</w:t>
            </w:r>
          </w:p>
        </w:tc>
        <w:tc>
          <w:tcPr>
            <w:tcW w:w="0" w:type="auto"/>
            <w:shd w:val="clear"/>
            <w:vAlign w:val="center"/>
          </w:tcPr>
          <w:p w14:paraId="49B6B1F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14:ligatures w14:val="standardContextual"/>
              </w:rPr>
              <w:t>✕</w:t>
            </w:r>
          </w:p>
        </w:tc>
        <w:tc>
          <w:tcPr>
            <w:tcW w:w="0" w:type="auto"/>
            <w:shd w:val="clear"/>
            <w:vAlign w:val="center"/>
          </w:tcPr>
          <w:p w14:paraId="426A2FF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14:ligatures w14:val="standardContextual"/>
              </w:rPr>
              <w:t>✓</w:t>
            </w:r>
          </w:p>
        </w:tc>
      </w:tr>
      <w:tr w14:paraId="501227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426E79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14:ligatures w14:val="standardContextual"/>
              </w:rPr>
              <w:t>Kurdi et al. (2020) – Automatic Question Generation Review</w:t>
            </w:r>
          </w:p>
        </w:tc>
        <w:tc>
          <w:tcPr>
            <w:tcW w:w="0" w:type="auto"/>
            <w:shd w:val="clear"/>
            <w:vAlign w:val="center"/>
          </w:tcPr>
          <w:p w14:paraId="379B774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14:ligatures w14:val="standardContextual"/>
              </w:rPr>
              <w:t>✕</w:t>
            </w:r>
          </w:p>
        </w:tc>
        <w:tc>
          <w:tcPr>
            <w:tcW w:w="0" w:type="auto"/>
            <w:shd w:val="clear"/>
            <w:vAlign w:val="center"/>
          </w:tcPr>
          <w:p w14:paraId="293CB97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14:ligatures w14:val="standardContextual"/>
              </w:rPr>
              <w:t>✓</w:t>
            </w:r>
          </w:p>
        </w:tc>
        <w:tc>
          <w:tcPr>
            <w:tcW w:w="0" w:type="auto"/>
            <w:shd w:val="clear"/>
            <w:vAlign w:val="center"/>
          </w:tcPr>
          <w:p w14:paraId="5D19628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14:ligatures w14:val="standardContextual"/>
              </w:rPr>
              <w:t>✕</w:t>
            </w:r>
          </w:p>
        </w:tc>
        <w:tc>
          <w:tcPr>
            <w:tcW w:w="0" w:type="auto"/>
            <w:shd w:val="clear"/>
            <w:vAlign w:val="center"/>
          </w:tcPr>
          <w:p w14:paraId="1CA03D7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14:ligatures w14:val="standardContextual"/>
              </w:rPr>
              <w:t>✕</w:t>
            </w:r>
          </w:p>
        </w:tc>
      </w:tr>
      <w:tr w14:paraId="24BAD7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81A68B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14:ligatures w14:val="standardContextual"/>
              </w:rPr>
              <w:t>Aleven et al. (2016) – Adaptive Learning Technologies</w:t>
            </w:r>
          </w:p>
        </w:tc>
        <w:tc>
          <w:tcPr>
            <w:tcW w:w="0" w:type="auto"/>
            <w:shd w:val="clear"/>
            <w:vAlign w:val="center"/>
          </w:tcPr>
          <w:p w14:paraId="0C33D63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14:ligatures w14:val="standardContextual"/>
              </w:rPr>
              <w:t>✕</w:t>
            </w:r>
          </w:p>
        </w:tc>
        <w:tc>
          <w:tcPr>
            <w:tcW w:w="0" w:type="auto"/>
            <w:shd w:val="clear"/>
            <w:vAlign w:val="center"/>
          </w:tcPr>
          <w:p w14:paraId="5B2F144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14:ligatures w14:val="standardContextual"/>
              </w:rPr>
              <w:t>✕</w:t>
            </w:r>
          </w:p>
        </w:tc>
        <w:tc>
          <w:tcPr>
            <w:tcW w:w="0" w:type="auto"/>
            <w:shd w:val="clear"/>
            <w:vAlign w:val="center"/>
          </w:tcPr>
          <w:p w14:paraId="1440E47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14:ligatures w14:val="standardContextual"/>
              </w:rPr>
              <w:t>✓</w:t>
            </w:r>
          </w:p>
        </w:tc>
        <w:tc>
          <w:tcPr>
            <w:tcW w:w="0" w:type="auto"/>
            <w:shd w:val="clear"/>
            <w:vAlign w:val="center"/>
          </w:tcPr>
          <w:p w14:paraId="0D781B0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14:ligatures w14:val="standardContextual"/>
              </w:rPr>
              <w:t>✕</w:t>
            </w:r>
          </w:p>
        </w:tc>
      </w:tr>
      <w:tr w14:paraId="4BE0D9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DF7028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14:ligatures w14:val="standardContextual"/>
              </w:rPr>
              <w:t>Schwendimann et al. (2017) – Learning Analytics Dashboards</w:t>
            </w:r>
          </w:p>
        </w:tc>
        <w:tc>
          <w:tcPr>
            <w:tcW w:w="0" w:type="auto"/>
            <w:shd w:val="clear"/>
            <w:vAlign w:val="center"/>
          </w:tcPr>
          <w:p w14:paraId="774152E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14:ligatures w14:val="standardContextual"/>
              </w:rPr>
              <w:t>✕</w:t>
            </w:r>
          </w:p>
        </w:tc>
        <w:tc>
          <w:tcPr>
            <w:tcW w:w="0" w:type="auto"/>
            <w:shd w:val="clear"/>
            <w:vAlign w:val="center"/>
          </w:tcPr>
          <w:p w14:paraId="3126ED9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14:ligatures w14:val="standardContextual"/>
              </w:rPr>
              <w:t>✕</w:t>
            </w:r>
          </w:p>
        </w:tc>
        <w:tc>
          <w:tcPr>
            <w:tcW w:w="0" w:type="auto"/>
            <w:shd w:val="clear"/>
            <w:vAlign w:val="center"/>
          </w:tcPr>
          <w:p w14:paraId="67F0FDB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14:ligatures w14:val="standardContextual"/>
              </w:rPr>
              <w:t>✕</w:t>
            </w:r>
          </w:p>
        </w:tc>
        <w:tc>
          <w:tcPr>
            <w:tcW w:w="0" w:type="auto"/>
            <w:shd w:val="clear"/>
            <w:vAlign w:val="center"/>
          </w:tcPr>
          <w:p w14:paraId="6C869B2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14:ligatures w14:val="standardContextual"/>
              </w:rPr>
              <w:t>✓</w:t>
            </w:r>
          </w:p>
        </w:tc>
      </w:tr>
      <w:tr w14:paraId="28552F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259905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14:ligatures w14:val="standardContextual"/>
              </w:rPr>
              <w:t>Kulik &amp; Fletcher (2016) – Intelligent Tutoring Systems</w:t>
            </w:r>
          </w:p>
        </w:tc>
        <w:tc>
          <w:tcPr>
            <w:tcW w:w="0" w:type="auto"/>
            <w:shd w:val="clear"/>
            <w:vAlign w:val="center"/>
          </w:tcPr>
          <w:p w14:paraId="221DEA9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14:ligatures w14:val="standardContextual"/>
              </w:rPr>
              <w:t>✕</w:t>
            </w:r>
          </w:p>
        </w:tc>
        <w:tc>
          <w:tcPr>
            <w:tcW w:w="0" w:type="auto"/>
            <w:shd w:val="clear"/>
            <w:vAlign w:val="center"/>
          </w:tcPr>
          <w:p w14:paraId="08F9981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14:ligatures w14:val="standardContextual"/>
              </w:rPr>
              <w:t>✕</w:t>
            </w:r>
          </w:p>
        </w:tc>
        <w:tc>
          <w:tcPr>
            <w:tcW w:w="0" w:type="auto"/>
            <w:shd w:val="clear"/>
            <w:vAlign w:val="center"/>
          </w:tcPr>
          <w:p w14:paraId="7744BC5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14:ligatures w14:val="standardContextual"/>
              </w:rPr>
              <w:t>✓</w:t>
            </w:r>
          </w:p>
        </w:tc>
        <w:tc>
          <w:tcPr>
            <w:tcW w:w="0" w:type="auto"/>
            <w:shd w:val="clear"/>
            <w:vAlign w:val="center"/>
          </w:tcPr>
          <w:p w14:paraId="36B8749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14:ligatures w14:val="standardContextual"/>
              </w:rPr>
              <w:t>✕</w:t>
            </w:r>
          </w:p>
        </w:tc>
      </w:tr>
    </w:tbl>
    <w:p w14:paraId="593E350C">
      <w:pPr>
        <w:rPr>
          <w:rFonts w:hint="default" w:ascii="Times New Roman" w:hAnsi="Times New Roman" w:cs="Times New Roman"/>
        </w:rPr>
      </w:pPr>
    </w:p>
    <w:p w14:paraId="7A6FB9DB">
      <w:pPr>
        <w:rPr>
          <w:rFonts w:hint="default" w:ascii="Times New Roman" w:hAnsi="Times New Roman" w:cs="Times New Roman"/>
        </w:rPr>
      </w:pPr>
      <w:r>
        <w:rPr>
          <w:rFonts w:hint="default" w:ascii="Times New Roman" w:hAnsi="Times New Roman" w:cs="Times New Roman"/>
          <w:b/>
          <w:bCs/>
        </w:rPr>
        <w:t>Synthesis</w:t>
      </w:r>
    </w:p>
    <w:p w14:paraId="2B3A0FC1">
      <w:pPr>
        <w:ind w:firstLine="720"/>
        <w:rPr>
          <w:rFonts w:hint="default" w:ascii="Times New Roman" w:hAnsi="Times New Roman" w:cs="Times New Roman"/>
        </w:rPr>
      </w:pPr>
      <w:r>
        <w:rPr>
          <w:rFonts w:hint="default" w:ascii="Times New Roman" w:hAnsi="Times New Roman" w:cs="Times New Roman"/>
        </w:rPr>
        <w:t>The matrix of related literature and studies presents a comparative overview of existing systems in relation to the core features of the proposed A.I.M.S. platform. It can be observed that no single system fully integrates all the identified features, highlighting a gap that the proposed system aims to address.</w:t>
      </w:r>
    </w:p>
    <w:p w14:paraId="6D7B2911">
      <w:pPr>
        <w:ind w:firstLine="720"/>
        <w:rPr>
          <w:rFonts w:hint="default" w:ascii="Times New Roman" w:hAnsi="Times New Roman" w:cs="Times New Roman"/>
        </w:rPr>
      </w:pPr>
      <w:r>
        <w:rPr>
          <w:rFonts w:hint="default" w:ascii="Times New Roman" w:hAnsi="Times New Roman" w:cs="Times New Roman"/>
        </w:rPr>
        <w:t>Several studies emphasize the importance of centralized digital libraries for efficient module distribution, while others focus on AI-powered assessment tools to improve evaluation processes. Adaptive mastery systems are also recognized for promoting competency-based learning, although they are not consistently integrated across all platforms. Meanwhile, performance dashboards are commonly implemented to support monitoring and data-driven decision-making.</w:t>
      </w:r>
    </w:p>
    <w:p w14:paraId="28E355BB">
      <w:pPr>
        <w:ind w:firstLine="720"/>
        <w:rPr>
          <w:rFonts w:hint="default" w:ascii="Times New Roman" w:hAnsi="Times New Roman" w:cs="Times New Roman"/>
        </w:rPr>
      </w:pPr>
      <w:r>
        <w:rPr>
          <w:rFonts w:hint="default" w:ascii="Times New Roman" w:hAnsi="Times New Roman" w:cs="Times New Roman"/>
        </w:rPr>
        <w:t>Overall, the synthesis reveals that while individual features are present in existing systems, there is a lack of a unified platform that combines all functionalities. This supports the development of A.I.M.S., which aims to integrate these features into a single, cohesive system to enhance both teaching and learning experiences.</w:t>
      </w:r>
    </w:p>
    <w:p w14:paraId="79A9A794">
      <w:pPr>
        <w:rPr>
          <w:rFonts w:hint="default" w:ascii="Times New Roman" w:hAnsi="Times New Roman" w:cs="Times New Roman"/>
        </w:rPr>
      </w:pPr>
    </w:p>
    <w:p w14:paraId="13600A63">
      <w:pPr>
        <w:rPr>
          <w:rFonts w:hint="default" w:ascii="Times New Roman" w:hAnsi="Times New Roman" w:cs="Times New Roman"/>
        </w:rPr>
      </w:pPr>
    </w:p>
    <w:p w14:paraId="3B17ECFE">
      <w:pPr>
        <w:rPr>
          <w:rFonts w:hint="default" w:ascii="Times New Roman" w:hAnsi="Times New Roman" w:cs="Times New Roman"/>
        </w:rPr>
      </w:pPr>
    </w:p>
    <w:p w14:paraId="4F725227">
      <w:pPr>
        <w:pStyle w:val="17"/>
        <w:keepNext w:val="0"/>
        <w:keepLines w:val="0"/>
        <w:widowControl/>
        <w:suppressLineNumbers w:val="0"/>
      </w:pPr>
      <w:r>
        <w:t>Aleven, V., McLaughlin, E. A., Glenn, R. A., &amp; Koedinger, K. R. (2016).</w:t>
      </w:r>
      <w:r>
        <w:br w:type="textWrapping"/>
      </w:r>
      <w:r>
        <w:t xml:space="preserve">Instruction based on adaptive learning technologies. In R. E. Mayer (Ed.), </w:t>
      </w:r>
      <w:r>
        <w:rPr>
          <w:rStyle w:val="13"/>
        </w:rPr>
        <w:t>Handbook of research on learning and instruction</w:t>
      </w:r>
      <w:r>
        <w:t xml:space="preserve"> (2nd ed., pp. 522–560). Routledge.</w:t>
      </w:r>
    </w:p>
    <w:p w14:paraId="4A96064D">
      <w:pPr>
        <w:pStyle w:val="17"/>
        <w:keepNext w:val="0"/>
        <w:keepLines w:val="0"/>
        <w:widowControl/>
        <w:suppressLineNumbers w:val="0"/>
      </w:pPr>
      <w:r>
        <w:t>Balase, M. M., &amp; Paglinawan, J. L. (2025).</w:t>
      </w:r>
      <w:r>
        <w:br w:type="textWrapping"/>
      </w:r>
      <w:r>
        <w:t xml:space="preserve">Voices from the field: Teachers’ narratives and reflections on integrating the DepEd learning management system (LMS) in teaching and professional development. </w:t>
      </w:r>
      <w:r>
        <w:rPr>
          <w:rStyle w:val="13"/>
        </w:rPr>
        <w:t>International Journal of Scientific and Management Research</w:t>
      </w:r>
      <w:r>
        <w:t>, 8(10). https://doi.org/10.37502/IJSMR.2025.81011</w:t>
      </w:r>
    </w:p>
    <w:p w14:paraId="130BBA3B">
      <w:pPr>
        <w:pStyle w:val="17"/>
        <w:keepNext w:val="0"/>
        <w:keepLines w:val="0"/>
        <w:widowControl/>
        <w:suppressLineNumbers w:val="0"/>
      </w:pPr>
      <w:r>
        <w:t>Borabo, J., et al. (2024).</w:t>
      </w:r>
      <w:r>
        <w:br w:type="textWrapping"/>
      </w:r>
      <w:r>
        <w:t xml:space="preserve">Impact of the utilization of learning management system in the implementation of distance learning in secondary schools in the Philippines. </w:t>
      </w:r>
      <w:r>
        <w:rPr>
          <w:rStyle w:val="13"/>
        </w:rPr>
        <w:t>Journal of Current Development Research</w:t>
      </w:r>
      <w:r>
        <w:t>. https://doi.org/10.14456/jcdr-hs.2024.9</w:t>
      </w:r>
    </w:p>
    <w:p w14:paraId="6EE1893C">
      <w:pPr>
        <w:pStyle w:val="17"/>
        <w:keepNext w:val="0"/>
        <w:keepLines w:val="0"/>
        <w:widowControl/>
        <w:suppressLineNumbers w:val="0"/>
      </w:pPr>
      <w:r>
        <w:t>Bustillo, J., &amp; Aguilos, M. (2022).</w:t>
      </w:r>
      <w:r>
        <w:br w:type="textWrapping"/>
      </w:r>
      <w:r>
        <w:t xml:space="preserve">Digital module distribution in the Philippines during COVID-19 pandemic: Challenges and opportunities. </w:t>
      </w:r>
      <w:r>
        <w:rPr>
          <w:rStyle w:val="13"/>
        </w:rPr>
        <w:t>International Journal of Educational Development</w:t>
      </w:r>
      <w:r>
        <w:t>, 85, 102–115.</w:t>
      </w:r>
    </w:p>
    <w:p w14:paraId="08D6F216">
      <w:pPr>
        <w:pStyle w:val="17"/>
        <w:keepNext w:val="0"/>
        <w:keepLines w:val="0"/>
        <w:widowControl/>
        <w:suppressLineNumbers w:val="0"/>
      </w:pPr>
      <w:r>
        <w:t>Gasevic, D., Dawson, S., &amp; Siemens, G. (2019).</w:t>
      </w:r>
      <w:r>
        <w:br w:type="textWrapping"/>
      </w:r>
      <w:r>
        <w:t xml:space="preserve">Let’s not forget: Learning analytics are about learning. </w:t>
      </w:r>
      <w:r>
        <w:rPr>
          <w:rStyle w:val="13"/>
        </w:rPr>
        <w:t>TechTrends</w:t>
      </w:r>
      <w:r>
        <w:t>, 63(1), 64–71. https://doi.org/10.1007/s11528-018-0342-1</w:t>
      </w:r>
    </w:p>
    <w:p w14:paraId="7935AC23">
      <w:pPr>
        <w:pStyle w:val="17"/>
        <w:keepNext w:val="0"/>
        <w:keepLines w:val="0"/>
        <w:widowControl/>
        <w:suppressLineNumbers w:val="0"/>
      </w:pPr>
      <w:r>
        <w:t>Kulik, J. A., &amp; Fletcher, J. D. (2016).</w:t>
      </w:r>
      <w:r>
        <w:br w:type="textWrapping"/>
      </w:r>
      <w:r>
        <w:t xml:space="preserve">Effectiveness of intelligent tutoring systems: A meta-analytic review. </w:t>
      </w:r>
      <w:r>
        <w:rPr>
          <w:rStyle w:val="13"/>
        </w:rPr>
        <w:t>Review of Educational Research</w:t>
      </w:r>
      <w:r>
        <w:t xml:space="preserve">, 86(1), 42–78. </w:t>
      </w:r>
      <w:r>
        <w:fldChar w:fldCharType="begin"/>
      </w:r>
      <w:r>
        <w:instrText xml:space="preserve"> HYPERLINK "https://doi.org/10.3102/0034654315581420" \t "C:\\Users\\ADMINI~1\\AppData\\Local\\Temp\\_new" </w:instrText>
      </w:r>
      <w:r>
        <w:fldChar w:fldCharType="separate"/>
      </w:r>
      <w:r>
        <w:rPr>
          <w:rStyle w:val="16"/>
        </w:rPr>
        <w:t>https://doi.org/10.3102/0034654315581420</w:t>
      </w:r>
      <w:r>
        <w:fldChar w:fldCharType="end"/>
      </w:r>
    </w:p>
    <w:p w14:paraId="58F7852B">
      <w:pPr>
        <w:pStyle w:val="17"/>
        <w:keepNext w:val="0"/>
        <w:keepLines w:val="0"/>
        <w:widowControl/>
        <w:suppressLineNumbers w:val="0"/>
      </w:pPr>
      <w:r>
        <w:t>Kurdi, G., Leo, J., Parsia, B., Sattler, U., &amp; Al-Emari, S. (2020).</w:t>
      </w:r>
      <w:r>
        <w:br w:type="textWrapping"/>
      </w:r>
      <w:r>
        <w:t xml:space="preserve">A systematic review of automatic question generation for educational purposes. </w:t>
      </w:r>
      <w:r>
        <w:rPr>
          <w:rStyle w:val="13"/>
        </w:rPr>
        <w:t>International Journal of Artificial Intelligence in Education</w:t>
      </w:r>
      <w:r>
        <w:t>, 30, 121–204. https://doi.org/10.1007/s40593-019-00186-y</w:t>
      </w:r>
    </w:p>
    <w:p w14:paraId="2EC1C1E3">
      <w:pPr>
        <w:pStyle w:val="17"/>
        <w:keepNext w:val="0"/>
        <w:keepLines w:val="0"/>
        <w:widowControl/>
        <w:suppressLineNumbers w:val="0"/>
      </w:pPr>
      <w:r>
        <w:t>Russell, S. J., &amp; Norvig, P. (2020).</w:t>
      </w:r>
      <w:r>
        <w:br w:type="textWrapping"/>
      </w:r>
      <w:r>
        <w:rPr>
          <w:rStyle w:val="13"/>
        </w:rPr>
        <w:t>Artificial intelligence: A modern approach</w:t>
      </w:r>
      <w:r>
        <w:t xml:space="preserve"> (4th ed.). Pearson.</w:t>
      </w:r>
    </w:p>
    <w:p w14:paraId="5F04DDBB">
      <w:pPr>
        <w:pStyle w:val="17"/>
        <w:keepNext w:val="0"/>
        <w:keepLines w:val="0"/>
        <w:widowControl/>
        <w:suppressLineNumbers w:val="0"/>
      </w:pPr>
      <w:r>
        <w:t>Schwendimann, B. A., Rodriguez-Triana, M. J., Vozniuk, A., Prieto, L. P., Boroujeni, M. S., Holzer, A., Gillet, D., &amp; Dillenbourg, P. (2017).</w:t>
      </w:r>
      <w:r>
        <w:br w:type="textWrapping"/>
      </w:r>
      <w:r>
        <w:t xml:space="preserve">Perceiving learning at a glance: A systematic literature review of learning dashboard research. </w:t>
      </w:r>
      <w:r>
        <w:rPr>
          <w:rStyle w:val="13"/>
        </w:rPr>
        <w:t>IEEE Transactions on Learning Technologies</w:t>
      </w:r>
      <w:r>
        <w:t>, 10(1), 30–41. https://doi.org/10.1109/TLT.2016.2599522</w:t>
      </w:r>
    </w:p>
    <w:p w14:paraId="46BF698E">
      <w:pPr>
        <w:pStyle w:val="17"/>
        <w:keepNext w:val="0"/>
        <w:keepLines w:val="0"/>
        <w:widowControl/>
        <w:suppressLineNumbers w:val="0"/>
      </w:pPr>
      <w:r>
        <w:t>Tus, J., Cruz, M. A., Espiritu, N. A., &amp; Paras, N. E. (2021).</w:t>
      </w:r>
      <w:r>
        <w:br w:type="textWrapping"/>
      </w:r>
      <w:r>
        <w:t xml:space="preserve">Amidst the online learning modality: The usage of learning management system (LMS) and its relationship to the academic performance of Filipino students. </w:t>
      </w:r>
      <w:r>
        <w:rPr>
          <w:rStyle w:val="13"/>
        </w:rPr>
        <w:t>International Journal of Academic Multidisciplinary Research</w:t>
      </w:r>
      <w:r>
        <w:t>, 5(6), 1–9. https://doi.org/10.6084/m9.figshare.17151374.v2</w:t>
      </w:r>
    </w:p>
    <w:p w14:paraId="0C8883B5">
      <w:pPr>
        <w:pStyle w:val="17"/>
        <w:keepNext w:val="0"/>
        <w:keepLines w:val="0"/>
        <w:widowControl/>
        <w:suppressLineNumbers w:val="0"/>
      </w:pPr>
      <w:r>
        <w:t>Witten, I. H., &amp; Frank, E. (2005).</w:t>
      </w:r>
      <w:r>
        <w:br w:type="textWrapping"/>
      </w:r>
      <w:r>
        <w:rPr>
          <w:rStyle w:val="13"/>
        </w:rPr>
        <w:t>Data mining: Practical machine learning tools and techniques</w:t>
      </w:r>
      <w:r>
        <w:t xml:space="preserve"> (2nd ed.). Morgan Kaufmann.</w:t>
      </w:r>
    </w:p>
    <w:p w14:paraId="559F5BA5">
      <w:pPr>
        <w:rPr>
          <w:rFonts w:hint="default" w:ascii="Times New Roman" w:hAnsi="Times New Roman" w:cs="Times New Roman"/>
        </w:rPr>
      </w:pPr>
      <w:bookmarkStart w:id="0" w:name="_GoBack"/>
      <w:bookmarkEnd w:id="0"/>
    </w:p>
    <w:sectPr>
      <w:headerReference r:id="rId5" w:type="default"/>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UI Symbol">
    <w:panose1 w:val="020B0502040204020203"/>
    <w:charset w:val="00"/>
    <w:family w:val="swiss"/>
    <w:pitch w:val="default"/>
    <w:sig w:usb0="800001E3" w:usb1="1200FFEF" w:usb2="00040000" w:usb3="04000000" w:csb0="00000001" w:csb1="4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2A4D8A">
    <w:pPr>
      <w:pStyle w:val="15"/>
    </w:pPr>
    <w:r>
      <w:drawing>
        <wp:anchor distT="0" distB="0" distL="114300" distR="114300" simplePos="0" relativeHeight="251659264" behindDoc="0" locked="0" layoutInCell="1" allowOverlap="1">
          <wp:simplePos x="0" y="0"/>
          <wp:positionH relativeFrom="column">
            <wp:posOffset>-868680</wp:posOffset>
          </wp:positionH>
          <wp:positionV relativeFrom="paragraph">
            <wp:posOffset>-452120</wp:posOffset>
          </wp:positionV>
          <wp:extent cx="7703820" cy="889000"/>
          <wp:effectExtent l="0" t="0" r="0" b="6350"/>
          <wp:wrapNone/>
          <wp:docPr id="1977566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566796"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847118" cy="905730"/>
                  </a:xfrm>
                  <a:prstGeom prst="rect">
                    <a:avLst/>
                  </a:prstGeom>
                  <a:noFill/>
                  <a:ln>
                    <a:noFill/>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2"/>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4AF4"/>
    <w:rsid w:val="0069173E"/>
    <w:rsid w:val="00A14AF4"/>
    <w:rsid w:val="00F33F3E"/>
    <w:rsid w:val="458529EE"/>
    <w:rsid w:val="5B237E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20"/>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1"/>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2"/>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3"/>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4"/>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5"/>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6"/>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8"/>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paragraph" w:styleId="14">
    <w:name w:val="footer"/>
    <w:basedOn w:val="1"/>
    <w:link w:val="39"/>
    <w:unhideWhenUsed/>
    <w:uiPriority w:val="99"/>
    <w:pPr>
      <w:tabs>
        <w:tab w:val="center" w:pos="4680"/>
        <w:tab w:val="right" w:pos="9360"/>
      </w:tabs>
      <w:spacing w:after="0" w:line="240" w:lineRule="auto"/>
    </w:pPr>
  </w:style>
  <w:style w:type="paragraph" w:styleId="15">
    <w:name w:val="header"/>
    <w:basedOn w:val="1"/>
    <w:link w:val="38"/>
    <w:unhideWhenUsed/>
    <w:qFormat/>
    <w:uiPriority w:val="99"/>
    <w:pPr>
      <w:tabs>
        <w:tab w:val="center" w:pos="4680"/>
        <w:tab w:val="right" w:pos="9360"/>
      </w:tabs>
      <w:spacing w:after="0" w:line="240" w:lineRule="auto"/>
    </w:pPr>
  </w:style>
  <w:style w:type="character" w:styleId="16">
    <w:name w:val="Hyperlink"/>
    <w:basedOn w:val="11"/>
    <w:semiHidden/>
    <w:unhideWhenUsed/>
    <w:uiPriority w:val="99"/>
    <w:rPr>
      <w:color w:val="0000FF"/>
      <w:u w:val="single"/>
    </w:rPr>
  </w:style>
  <w:style w:type="paragraph" w:styleId="17">
    <w:name w:val="Normal (Web)"/>
    <w:semiHidden/>
    <w:unhideWhenUsed/>
    <w:uiPriority w:val="99"/>
    <w:pPr>
      <w:spacing w:before="0" w:beforeAutospacing="1" w:after="0" w:afterAutospacing="1"/>
      <w:ind w:left="0" w:right="0"/>
      <w:jc w:val="left"/>
    </w:pPr>
    <w:rPr>
      <w:kern w:val="0"/>
      <w:sz w:val="24"/>
      <w:szCs w:val="24"/>
      <w:lang w:val="en-US" w:eastAsia="zh-CN" w:bidi="ar"/>
    </w:rPr>
  </w:style>
  <w:style w:type="paragraph" w:styleId="18">
    <w:name w:val="Subtitle"/>
    <w:basedOn w:val="1"/>
    <w:next w:val="1"/>
    <w:link w:val="30"/>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9">
    <w:name w:val="Title"/>
    <w:basedOn w:val="1"/>
    <w:next w:val="1"/>
    <w:link w:val="29"/>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20">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21">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22">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3">
    <w:name w:val="Heading 4 Char"/>
    <w:basedOn w:val="11"/>
    <w:link w:val="5"/>
    <w:semiHidden/>
    <w:qFormat/>
    <w:uiPriority w:val="9"/>
    <w:rPr>
      <w:rFonts w:eastAsiaTheme="majorEastAsia" w:cstheme="majorBidi"/>
      <w:i/>
      <w:iCs/>
      <w:color w:val="2F5597" w:themeColor="accent1" w:themeShade="BF"/>
    </w:rPr>
  </w:style>
  <w:style w:type="character" w:customStyle="1" w:styleId="24">
    <w:name w:val="Heading 5 Char"/>
    <w:basedOn w:val="11"/>
    <w:link w:val="6"/>
    <w:semiHidden/>
    <w:qFormat/>
    <w:uiPriority w:val="9"/>
    <w:rPr>
      <w:rFonts w:eastAsiaTheme="majorEastAsia" w:cstheme="majorBidi"/>
      <w:color w:val="2F5597" w:themeColor="accent1" w:themeShade="BF"/>
    </w:rPr>
  </w:style>
  <w:style w:type="character" w:customStyle="1" w:styleId="25">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6">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8">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9">
    <w:name w:val="Title Char"/>
    <w:basedOn w:val="11"/>
    <w:link w:val="19"/>
    <w:qFormat/>
    <w:uiPriority w:val="10"/>
    <w:rPr>
      <w:rFonts w:asciiTheme="majorHAnsi" w:hAnsiTheme="majorHAnsi" w:eastAsiaTheme="majorEastAsia" w:cstheme="majorBidi"/>
      <w:spacing w:val="-10"/>
      <w:kern w:val="28"/>
      <w:sz w:val="56"/>
      <w:szCs w:val="56"/>
    </w:rPr>
  </w:style>
  <w:style w:type="character" w:customStyle="1" w:styleId="30">
    <w:name w:val="Subtitle Char"/>
    <w:basedOn w:val="11"/>
    <w:link w:val="18"/>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Quote Char"/>
    <w:basedOn w:val="11"/>
    <w:link w:val="31"/>
    <w:uiPriority w:val="29"/>
    <w:rPr>
      <w:i/>
      <w:iCs/>
      <w:color w:val="404040" w:themeColor="text1" w:themeTint="BF"/>
      <w14:textFill>
        <w14:solidFill>
          <w14:schemeClr w14:val="tx1">
            <w14:lumMod w14:val="75000"/>
            <w14:lumOff w14:val="25000"/>
          </w14:schemeClr>
        </w14:solidFill>
      </w14:textFill>
    </w:rPr>
  </w:style>
  <w:style w:type="paragraph" w:styleId="33">
    <w:name w:val="List Paragraph"/>
    <w:basedOn w:val="1"/>
    <w:qFormat/>
    <w:uiPriority w:val="34"/>
    <w:pPr>
      <w:ind w:left="720"/>
      <w:contextualSpacing/>
    </w:pPr>
  </w:style>
  <w:style w:type="character" w:customStyle="1" w:styleId="34">
    <w:name w:val="Intense Emphasis"/>
    <w:basedOn w:val="11"/>
    <w:qFormat/>
    <w:uiPriority w:val="21"/>
    <w:rPr>
      <w:i/>
      <w:iCs/>
      <w:color w:val="2F5597" w:themeColor="accent1" w:themeShade="BF"/>
    </w:rPr>
  </w:style>
  <w:style w:type="paragraph" w:styleId="35">
    <w:name w:val="Intense Quote"/>
    <w:basedOn w:val="1"/>
    <w:next w:val="1"/>
    <w:link w:val="36"/>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6">
    <w:name w:val="Intense Quote Char"/>
    <w:basedOn w:val="11"/>
    <w:link w:val="35"/>
    <w:uiPriority w:val="30"/>
    <w:rPr>
      <w:i/>
      <w:iCs/>
      <w:color w:val="2F5597" w:themeColor="accent1" w:themeShade="BF"/>
    </w:rPr>
  </w:style>
  <w:style w:type="character" w:customStyle="1" w:styleId="37">
    <w:name w:val="Intense Reference"/>
    <w:basedOn w:val="11"/>
    <w:qFormat/>
    <w:uiPriority w:val="32"/>
    <w:rPr>
      <w:b/>
      <w:bCs/>
      <w:smallCaps/>
      <w:color w:val="2F5597" w:themeColor="accent1" w:themeShade="BF"/>
      <w:spacing w:val="5"/>
    </w:rPr>
  </w:style>
  <w:style w:type="character" w:customStyle="1" w:styleId="38">
    <w:name w:val="Header Char"/>
    <w:basedOn w:val="11"/>
    <w:link w:val="15"/>
    <w:qFormat/>
    <w:uiPriority w:val="99"/>
  </w:style>
  <w:style w:type="character" w:customStyle="1" w:styleId="39">
    <w:name w:val="Footer Char"/>
    <w:basedOn w:val="11"/>
    <w:link w:val="14"/>
    <w:uiPriority w:val="99"/>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887</Words>
  <Characters>5945</Characters>
  <Lines>57</Lines>
  <Paragraphs>16</Paragraphs>
  <TotalTime>3</TotalTime>
  <ScaleCrop>false</ScaleCrop>
  <LinksUpToDate>false</LinksUpToDate>
  <CharactersWithSpaces>6797</CharactersWithSpaces>
  <Application>WPS Office_12.1.0.25830_F1E327BC-269C-435d-A152-05C5408002CA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2026-03-30T06:50:00Z</dcterms:created>
  <dc:creator>maikazambra32@gmail.com</dc:creator>
  <cp:lastModifiedBy>Administrator</cp:lastModifiedBy>
  <dcterms:modified xsi:type="dcterms:W3CDTF">2026-03-30T07:09:06Z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e2af4a29-3181-4dab-ac48-16d46b2b2329</vt:lpwstr>
  </property>
  <property fmtid="{D5CDD505-2E9C-101B-9397-08002B2CF9AE}" pid="3" name="KSOTemplateDocerSaveRecord">
    <vt:lpwstr>eyJoZGlkIjoiYmNiMGE0MzM1ZTgyYzUwZGM1ZWZhZWZkZWRiNjA4MDEiLCJ1c2VySWQiOiI3MDQ3MjkwNTc4MzUifQ==</vt:lpwstr>
  </property>
  <property fmtid="{D5CDD505-2E9C-101B-9397-08002B2CF9AE}" pid="4" name="KSOProductBuildVer">
    <vt:lpwstr>1033-12.1.0.25830</vt:lpwstr>
  </property>
  <property fmtid="{D5CDD505-2E9C-101B-9397-08002B2CF9AE}" pid="5" name="ICV">
    <vt:lpwstr>BDA4144AFD384C8B81852E58EAC6EE33_13</vt:lpwstr>
  </property>
</Properties>
</file>