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Enterprise Climate Risk and Pricing Engine: Comprehensive Strategic, Operational, and Quantitative Blueprint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Macro-Financial Context and Strategic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operationalization of India’s Carbon Credit Trading Scheme (CCTS) represents a tectonic shift in the subcontinent's industrial and macroeconomic landscape. For decades, the primary regulatory framework governing heavy industry in India was the Perform, Achieve and Trade (PAT) scheme, which focused narrowly on energy efficiency metrics. The transition to the CCTS establishes a compliance-based, intensity-driven cap-and-trade system for greenhouse gas (GHG) emissions.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the industrial complexes categorized as Obligated Entities (OEs), carbon is no longer a peripheral sustainability metric confined to annual environmental, social, and governance (ESG) disclosures. Instead, it has transitioned into a highly volatile, legally binding financial liability that directly impacts corporate balance sheets, operational expenditure, and sovereign trade competitiveness.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this stringent regulatory environment, traditional deterministic carbon accounting software—which merely aggregates historical emissions data to produce static reports—is fundamentally inadequate.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Such platforms inform a corporation of its past liabilities but offer zero predictive utility or financial optimization. What is urgently required is an autonomous, quantitative risk and pricing engine capable of stochastic forecasting, continuous emissions monitoring, dynamic portfolio optimization, and cross-border regulatory harmonization.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comprehensive blueprint outlines the architectural, mathematical, and commercial framework for a proprietary enterprise Business-to-Business (B2B) climate risk engine. By synthesizing the localized regulatory mechanics of the CCTS (updated through the critical May 2026 notifications), the complex compliance mandates of the European Union's Carbon Border Adjustment Mechanism (CBAM), and comparative macroeconomic lessons from China's national Emissions Trading System (ETS), this document provides a holistic data architecture.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it delivers an exhaustive evaluation of state-of-the-art quantitative pricing models, contrasting traditional ARIMA-GARCH frameworks against advanced deep-learning Transformer and Long Short-Term Memory (LSTM) hybrids to select the optimal algorithmic core for the pricing engine.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Finally, the blueprint encompasses a meticulously phased, bootstrap-to-scale founder operating plan designed to bring this engine to market, capture early industrial adopters, and scale it into an institutional-grade financial infrastructure asset.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Regulatory Architecture and Domestic Compliance Mechanics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 of any quantitative model operating within the Indian Carbon Market (ICM) relies on a rigorous, programmatic translation of legislative text into executable algorithmic code.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transition from voluntary disclosures to statutory compliance necessitates a risk engine that systematically tracks and forecasts dynamic operational parameters against shifting regulatory thresholds.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CCTS Phased Rollout and Sectoral Mandates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Indian government, executed through the Ministry of Environment, Forest and Climate Change (MoEFCC) and the Bureau of Energy Efficiency (BEE), has instituted a phased rollout of the CCTS.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scheme operates on an intensity-based "baseline-and-credit" methodology. Rather than imposing an absolute cap on emissions—which could severely constrain India's aggressive economic expansion—the regulator mandates a reduction in Greenhouse Gas Emission Intensity (GEI), calculated against a baseline established in the 2023–2024 financial year.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compliance timeline encompasses the active compliance years of 2025–2026 and 2026–2027. The regulatory design deliberately utilizes back-loaded reduction requirements, demanding approximately 40% of the targeted reduction in the first compliance period and the remaining 60% in the second.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targets were promulgated in phases to allow industries to adapt to monitoring, reporting, and verification (MRV) requirements.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tranche of notifications, issued in October 2025, formalized final targets for the Aluminium, Cement, Chlor-Alkali, and Pulp &amp; Paper sectors, covering 282 plants nationwide.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 major subsequent update on January 16, 2026, incorporated Petroleum Refineries, Petrochemicals, Textiles, and Secondary Aluminium into the compliance regime.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Most critically, the May 2026 regulatory updates finalized the integration of the Iron &amp; Steel and Fertiliser sectors into the CCTS framework. The inclusion of the Iron and Steel sector is particularly consequential, bringing an additional 253 units under strict compliance mandates.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Indian steel production relies heavily on coal-based Direct-Reduced Iron (DRI) processes, resulting in a higher baseline emission intensity of approximately 2.2 to 3.6 tons of carbon dioxide per ton of steel.</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BEE has mandated a 2-3% emission intensity reduction for the sector in 2025-26, tightening to a severe 4-6% reduction by 2026-27.</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With these final additions, the CCTS now encompasses approximately 740 Obligated Entities, representing over 700 million tonnes of carbon dioxide equivalent, solidifying the ICM as one of the largest emissions trading systems globally.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Market Microstructure and Marginal Abatement Cost Asymmetries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capability of the pricing engine is mapping the supply-demand microstructure of the compliance market. This dynamic is driven entirely by the Marginal Abatement Cost Curve (MACC) heterogeneities across the designated CCTS industries.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cost of mitigating one tonne of carbon dioxide varies wildly across sectors, fundamentally dictating whether an entity will behave as a structural supplier of credits or a structural buyer.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Industrial Sector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Number of Obligated Entities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Mandated GEI Reduction Target (by 2027)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Marginal Abatement Cost (USD/tCO2e)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Anticipated Market 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Aluminium (Primary &amp; Secondary)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 – 7.06%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 to $0 (Net Savings)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Supplier (Surplus CCCs)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Cement (Integrated &amp; Grinding)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4.7% – 7.6%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to $30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Mixed (Neutral to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Iron &amp; Steel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 – 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 to $100+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Severe Structural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Chlor-Alkali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 11.0%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to $40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Mixed (Neutral)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Pulp &amp; Paper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 to 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to $25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Mixed (Neutral to Supplier)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Petroleum Refining &amp; Petrochemicals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 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to $70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Textiles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6.6% – 12.0%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to $60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Buyer</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1: Comprehensive sectoral coverage, reduction trajectories, and market microstructure dynamics based on BEE notifications through May 2026 and MACC asymmetries.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demonstrated in the dataset, aluminium producers can abate millions of tonnes of emissions at negative or negligible marginal costs through energy efficiency upgrades, allowing them to easily over-deliver on targets and generate surplus Carbon Credit Certificates (CCCs).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Conversely, the iron and steel sector faces a steep MACC, having already exhausted inexpensive mitigation levers to meet previous energy efficiency mandates.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entities are forced into the market as structural buyers, exposing them heavily to price volatility on the Indian Energy Exchange (IEX).</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Mathematical Framework for Greenhouse Gas Emission Intensity Tracking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compliance logic programmatically isolates Scope 1 (direct process and combustion emissions) and Scope 2 (purchased electricity and heat) emissions generated strictly within the facility's physical boundaries, enforcing a strict "gate-to-gate" boundary mechanism.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Scope 3 emissions are currently excluded from the CCTS mandate, simplifying immediate data ingestion requirements but necessitating high-fidelity tracking of direct fuel combustion and power procurement.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emissions from renewable energy and biomass are treated as zero, providing a clear incentive for fuel switching.</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function autonomously, the enterprise engine executes a continuous, algorithmic calculation of the facility's real-time GEI trajectory. The foundational logic utilizes data ingested via Application Programming Interfaces (API) from CEMS and ERP modules.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real-time Greenhouse Gas Emission Intensity (</w:t>
      </w:r>
      <w:r w:rsidDel="00000000" w:rsidR="00000000" w:rsidRPr="00000000">
        <w:rPr>
          <w:rFonts w:ascii="Google Sans" w:cs="Google Sans" w:eastAsia="Google Sans" w:hAnsi="Google Sans"/>
        </w:rPr>
        <w:drawing>
          <wp:inline distB="19050" distT="19050" distL="19050" distR="19050">
            <wp:extent cx="428466" cy="238037"/>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8466" cy="238037"/>
                    </a:xfrm>
                    <a:prstGeom prst="rect"/>
                    <a:ln/>
                  </pic:spPr>
                </pic:pic>
              </a:graphicData>
            </a:graphic>
          </wp:inline>
        </w:drawing>
      </w:r>
      <w:r w:rsidDel="00000000" w:rsidR="00000000" w:rsidRPr="00000000">
        <w:rPr>
          <w:rFonts w:ascii="Google Sans" w:cs="Google Sans" w:eastAsia="Google Sans" w:hAnsi="Google Sans"/>
          <w:rtl w:val="0"/>
        </w:rPr>
        <w:t xml:space="preserve">) for an entity at time </w:t>
      </w:r>
      <w:r w:rsidDel="00000000" w:rsidR="00000000" w:rsidRPr="00000000">
        <w:rPr>
          <w:rFonts w:ascii="Google Sans" w:cs="Google Sans" w:eastAsia="Google Sans" w:hAnsi="Google Sans"/>
        </w:rPr>
        <w:drawing>
          <wp:inline distB="19050" distT="19050" distL="19050" distR="19050">
            <wp:extent cx="66516" cy="237558"/>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516" cy="237558"/>
                    </a:xfrm>
                    <a:prstGeom prst="rect"/>
                    <a:ln/>
                  </pic:spPr>
                </pic:pic>
              </a:graphicData>
            </a:graphic>
          </wp:inline>
        </w:drawing>
      </w:r>
      <w:r w:rsidDel="00000000" w:rsidR="00000000" w:rsidRPr="00000000">
        <w:rPr>
          <w:rFonts w:ascii="Google Sans" w:cs="Google Sans" w:eastAsia="Google Sans" w:hAnsi="Google Sans"/>
          <w:rtl w:val="0"/>
        </w:rPr>
        <w:t xml:space="preserve"> is calculated mathematically as: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43766"/>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5500" cy="44376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526415" cy="23928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26415" cy="239280"/>
                    </a:xfrm>
                    <a:prstGeom prst="rect"/>
                    <a:ln/>
                  </pic:spPr>
                </pic:pic>
              </a:graphicData>
            </a:graphic>
          </wp:inline>
        </w:drawing>
      </w:r>
      <w:r w:rsidDel="00000000" w:rsidR="00000000" w:rsidRPr="00000000">
        <w:rPr>
          <w:rFonts w:ascii="Google Sans" w:cs="Google Sans" w:eastAsia="Google Sans" w:hAnsi="Google Sans"/>
          <w:rtl w:val="0"/>
        </w:rPr>
        <w:t xml:space="preserve"> represents the physical consumption of fuel type </w:t>
      </w:r>
      <w:r w:rsidDel="00000000" w:rsidR="00000000" w:rsidRPr="00000000">
        <w:rPr>
          <w:rFonts w:ascii="Google Sans" w:cs="Google Sans" w:eastAsia="Google Sans" w:hAnsi="Google Sans"/>
        </w:rPr>
        <w:drawing>
          <wp:inline distB="19050" distT="19050" distL="19050" distR="19050">
            <wp:extent cx="63659" cy="227353"/>
            <wp:effectExtent b="0" l="0" r="0" t="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3659" cy="227353"/>
                    </a:xfrm>
                    <a:prstGeom prst="rect"/>
                    <a:ln/>
                  </pic:spPr>
                </pic:pic>
              </a:graphicData>
            </a:graphic>
          </wp:inline>
        </w:drawing>
      </w:r>
      <w:r w:rsidDel="00000000" w:rsidR="00000000" w:rsidRPr="00000000">
        <w:rPr>
          <w:rFonts w:ascii="Google Sans" w:cs="Google Sans" w:eastAsia="Google Sans" w:hAnsi="Google Sans"/>
          <w:rtl w:val="0"/>
        </w:rPr>
        <w:t xml:space="preserve"> (e.g., coal, natural gas, pet coke) at time </w:t>
      </w:r>
      <w:r w:rsidDel="00000000" w:rsidR="00000000" w:rsidRPr="00000000">
        <w:rPr>
          <w:rFonts w:ascii="Google Sans" w:cs="Google Sans" w:eastAsia="Google Sans" w:hAnsi="Google Sans"/>
        </w:rPr>
        <w:drawing>
          <wp:inline distB="19050" distT="19050" distL="19050" distR="19050">
            <wp:extent cx="66516" cy="237558"/>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516" cy="237558"/>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454343" cy="236637"/>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54343" cy="236637"/>
                    </a:xfrm>
                    <a:prstGeom prst="rect"/>
                    <a:ln/>
                  </pic:spPr>
                </pic:pic>
              </a:graphicData>
            </a:graphic>
          </wp:inline>
        </w:drawing>
      </w:r>
      <w:r w:rsidDel="00000000" w:rsidR="00000000" w:rsidRPr="00000000">
        <w:rPr>
          <w:rFonts w:ascii="Google Sans" w:cs="Google Sans" w:eastAsia="Google Sans" w:hAnsi="Google Sans"/>
          <w:rtl w:val="0"/>
        </w:rPr>
        <w:t xml:space="preserve"> represents the Net Calorific Value of fuel </w:t>
      </w:r>
      <w:r w:rsidDel="00000000" w:rsidR="00000000" w:rsidRPr="00000000">
        <w:rPr>
          <w:rFonts w:ascii="Google Sans" w:cs="Google Sans" w:eastAsia="Google Sans" w:hAnsi="Google Sans"/>
        </w:rPr>
        <w:drawing>
          <wp:inline distB="19050" distT="19050" distL="19050" distR="19050">
            <wp:extent cx="63659" cy="227353"/>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3659" cy="227353"/>
                    </a:xfrm>
                    <a:prstGeom prst="rect"/>
                    <a:ln/>
                  </pic:spPr>
                </pic:pic>
              </a:graphicData>
            </a:graphic>
          </wp:inline>
        </w:drawing>
      </w:r>
      <w:r w:rsidDel="00000000" w:rsidR="00000000" w:rsidRPr="00000000">
        <w:rPr>
          <w:rFonts w:ascii="Google Sans" w:cs="Google Sans" w:eastAsia="Google Sans" w:hAnsi="Google Sans"/>
          <w:rtl w:val="0"/>
        </w:rPr>
        <w:t xml:space="preserve">, determined via required proximate and ultimate laboratory analysis.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318928" cy="241612"/>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18928" cy="241612"/>
                    </a:xfrm>
                    <a:prstGeom prst="rect"/>
                    <a:ln/>
                  </pic:spPr>
                </pic:pic>
              </a:graphicData>
            </a:graphic>
          </wp:inline>
        </w:drawing>
      </w:r>
      <w:r w:rsidDel="00000000" w:rsidR="00000000" w:rsidRPr="00000000">
        <w:rPr>
          <w:rFonts w:ascii="Google Sans" w:cs="Google Sans" w:eastAsia="Google Sans" w:hAnsi="Google Sans"/>
          <w:rtl w:val="0"/>
        </w:rPr>
        <w:t xml:space="preserve"> is the standardized emission factor for fuel </w:t>
      </w:r>
      <w:r w:rsidDel="00000000" w:rsidR="00000000" w:rsidRPr="00000000">
        <w:rPr>
          <w:rFonts w:ascii="Google Sans" w:cs="Google Sans" w:eastAsia="Google Sans" w:hAnsi="Google Sans"/>
        </w:rPr>
        <w:drawing>
          <wp:inline distB="19050" distT="19050" distL="19050" distR="19050">
            <wp:extent cx="63659" cy="227353"/>
            <wp:effectExtent b="0" l="0" r="0" t="0"/>
            <wp:docPr id="1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3659" cy="227353"/>
                    </a:xfrm>
                    <a:prstGeom prst="rect"/>
                    <a:ln/>
                  </pic:spPr>
                </pic:pic>
              </a:graphicData>
            </a:graphic>
          </wp:inline>
        </w:drawing>
      </w:r>
      <w:r w:rsidDel="00000000" w:rsidR="00000000" w:rsidRPr="00000000">
        <w:rPr>
          <w:rFonts w:ascii="Google Sans" w:cs="Google Sans" w:eastAsia="Google Sans" w:hAnsi="Google Sans"/>
          <w:rtl w:val="0"/>
        </w:rPr>
        <w:t xml:space="preserve">, representing specific carbon content and oxidation limits established by the BEE.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416083" cy="236411"/>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16083" cy="236411"/>
                    </a:xfrm>
                    <a:prstGeom prst="rect"/>
                    <a:ln/>
                  </pic:spPr>
                </pic:pic>
              </a:graphicData>
            </a:graphic>
          </wp:inline>
        </w:drawing>
      </w:r>
      <w:r w:rsidDel="00000000" w:rsidR="00000000" w:rsidRPr="00000000">
        <w:rPr>
          <w:rFonts w:ascii="Google Sans" w:cs="Google Sans" w:eastAsia="Google Sans" w:hAnsi="Google Sans"/>
          <w:rtl w:val="0"/>
        </w:rPr>
        <w:t xml:space="preserve"> is the quantum of purchased grid electricity, multiplied by the regional </w:t>
      </w:r>
      <w:r w:rsidDel="00000000" w:rsidR="00000000" w:rsidRPr="00000000">
        <w:rPr>
          <w:rFonts w:ascii="Google Sans" w:cs="Google Sans" w:eastAsia="Google Sans" w:hAnsi="Google Sans"/>
        </w:rPr>
        <w:drawing>
          <wp:inline distB="19050" distT="19050" distL="19050" distR="19050">
            <wp:extent cx="672941" cy="236951"/>
            <wp:effectExtent b="0" l="0" r="0" t="0"/>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72941" cy="236951"/>
                    </a:xfrm>
                    <a:prstGeom prst="rect"/>
                    <a:ln/>
                  </pic:spPr>
                </pic:pic>
              </a:graphicData>
            </a:graphic>
          </wp:inline>
        </w:drawing>
      </w:r>
      <w:r w:rsidDel="00000000" w:rsidR="00000000" w:rsidRPr="00000000">
        <w:rPr>
          <w:rFonts w:ascii="Google Sans" w:cs="Google Sans" w:eastAsia="Google Sans" w:hAnsi="Google Sans"/>
          <w:rtl w:val="0"/>
        </w:rPr>
        <w:t xml:space="preserve"> (Grid Emission Factor published by the Central Electricity Authority).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638016" cy="238066"/>
            <wp:effectExtent b="0" l="0" r="0" t="0"/>
            <wp:docPr id="2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38016" cy="238066"/>
                    </a:xfrm>
                    <a:prstGeom prst="rect"/>
                    <a:ln/>
                  </pic:spPr>
                </pic:pic>
              </a:graphicData>
            </a:graphic>
          </wp:inline>
        </w:drawing>
      </w:r>
      <w:r w:rsidDel="00000000" w:rsidR="00000000" w:rsidRPr="00000000">
        <w:rPr>
          <w:rFonts w:ascii="Google Sans" w:cs="Google Sans" w:eastAsia="Google Sans" w:hAnsi="Google Sans"/>
          <w:rtl w:val="0"/>
        </w:rPr>
        <w:t xml:space="preserve"> represents the total equivalent product output at time </w:t>
      </w:r>
      <w:r w:rsidDel="00000000" w:rsidR="00000000" w:rsidRPr="00000000">
        <w:rPr>
          <w:rFonts w:ascii="Google Sans" w:cs="Google Sans" w:eastAsia="Google Sans" w:hAnsi="Google Sans"/>
        </w:rPr>
        <w:drawing>
          <wp:inline distB="19050" distT="19050" distL="19050" distR="19050">
            <wp:extent cx="66516" cy="237558"/>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516" cy="237558"/>
                    </a:xfrm>
                    <a:prstGeom prst="rect"/>
                    <a:ln/>
                  </pic:spPr>
                </pic:pic>
              </a:graphicData>
            </a:graphic>
          </wp:inline>
        </w:drawing>
      </w:r>
      <w:r w:rsidDel="00000000" w:rsidR="00000000" w:rsidRPr="00000000">
        <w:rPr>
          <w:rFonts w:ascii="Google Sans" w:cs="Google Sans" w:eastAsia="Google Sans" w:hAnsi="Google Sans"/>
          <w:rtl w:val="0"/>
        </w:rPr>
        <w:t xml:space="preserve"> (e.g., tonnes of clinker, crude steel, or yarn).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591820" cy="238637"/>
            <wp:effectExtent b="0" l="0" r="0" t="0"/>
            <wp:docPr id="2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1820" cy="238637"/>
                    </a:xfrm>
                    <a:prstGeom prst="rect"/>
                    <a:ln/>
                  </pic:spPr>
                </pic:pic>
              </a:graphicData>
            </a:graphic>
          </wp:inline>
        </w:drawing>
      </w:r>
      <w:r w:rsidDel="00000000" w:rsidR="00000000" w:rsidRPr="00000000">
        <w:rPr>
          <w:rFonts w:ascii="Google Sans" w:cs="Google Sans" w:eastAsia="Google Sans" w:hAnsi="Google Sans"/>
          <w:rtl w:val="0"/>
        </w:rPr>
        <w:t xml:space="preserve"> represents the quantum of carbon dioxide captured and transferred through Carbon Capture, Utilization, and Storage technologies, which is fully deductible under the latest CCTS offset rules.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conclusion of the compliance cycle, the firm's entitlement to CCCs or its compliance deficit is determined by calculating the delta between the mandated target (</w:t>
      </w:r>
      <w:r w:rsidDel="00000000" w:rsidR="00000000" w:rsidRPr="00000000">
        <w:rPr>
          <w:rFonts w:ascii="Google Sans" w:cs="Google Sans" w:eastAsia="Google Sans" w:hAnsi="Google Sans"/>
        </w:rPr>
        <w:drawing>
          <wp:inline distB="19050" distT="19050" distL="19050" distR="19050">
            <wp:extent cx="731520" cy="237507"/>
            <wp:effectExtent b="0" l="0" r="0" t="0"/>
            <wp:docPr id="2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731520" cy="237507"/>
                    </a:xfrm>
                    <a:prstGeom prst="rect"/>
                    <a:ln/>
                  </pic:spPr>
                </pic:pic>
              </a:graphicData>
            </a:graphic>
          </wp:inline>
        </w:drawing>
      </w:r>
      <w:r w:rsidDel="00000000" w:rsidR="00000000" w:rsidRPr="00000000">
        <w:rPr>
          <w:rFonts w:ascii="Google Sans" w:cs="Google Sans" w:eastAsia="Google Sans" w:hAnsi="Google Sans"/>
          <w:rtl w:val="0"/>
        </w:rPr>
        <w:t xml:space="preserve">) and the verified achieved intensity (</w:t>
      </w:r>
      <w:r w:rsidDel="00000000" w:rsidR="00000000" w:rsidRPr="00000000">
        <w:rPr>
          <w:rFonts w:ascii="Google Sans" w:cs="Google Sans" w:eastAsia="Google Sans" w:hAnsi="Google Sans"/>
        </w:rPr>
        <w:drawing>
          <wp:inline distB="19050" distT="19050" distL="19050" distR="19050">
            <wp:extent cx="735647" cy="238846"/>
            <wp:effectExtent b="0" l="0" r="0" t="0"/>
            <wp:docPr id="24"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735647" cy="23884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facility achieves an intensity lower than the target (</w:t>
      </w:r>
      <w:r w:rsidDel="00000000" w:rsidR="00000000" w:rsidRPr="00000000">
        <w:rPr>
          <w:rFonts w:ascii="Google Sans" w:cs="Google Sans" w:eastAsia="Google Sans" w:hAnsi="Google Sans"/>
        </w:rPr>
        <w:drawing>
          <wp:inline distB="19050" distT="19050" distL="19050" distR="19050">
            <wp:extent cx="1713233" cy="237949"/>
            <wp:effectExtent b="0" l="0" r="0" t="0"/>
            <wp:docPr id="2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713233" cy="237949"/>
                    </a:xfrm>
                    <a:prstGeom prst="rect"/>
                    <a:ln/>
                  </pic:spPr>
                </pic:pic>
              </a:graphicData>
            </a:graphic>
          </wp:inline>
        </w:drawing>
      </w:r>
      <w:r w:rsidDel="00000000" w:rsidR="00000000" w:rsidRPr="00000000">
        <w:rPr>
          <w:rFonts w:ascii="Google Sans" w:cs="Google Sans" w:eastAsia="Google Sans" w:hAnsi="Google Sans"/>
          <w:rtl w:val="0"/>
        </w:rPr>
        <w:t xml:space="preserve">), the firm is in surplus and generates marketable assets: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324290"/>
            <wp:effectExtent b="0" l="0" r="0" t="0"/>
            <wp:docPr id="2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05500" cy="32429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facility exceeds the target (</w:t>
      </w:r>
      <w:r w:rsidDel="00000000" w:rsidR="00000000" w:rsidRPr="00000000">
        <w:rPr>
          <w:rFonts w:ascii="Google Sans" w:cs="Google Sans" w:eastAsia="Google Sans" w:hAnsi="Google Sans"/>
        </w:rPr>
        <w:drawing>
          <wp:inline distB="19050" distT="19050" distL="19050" distR="19050">
            <wp:extent cx="1713233" cy="237949"/>
            <wp:effectExtent b="0" l="0" r="0" t="0"/>
            <wp:docPr id="2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713233" cy="237949"/>
                    </a:xfrm>
                    <a:prstGeom prst="rect"/>
                    <a:ln/>
                  </pic:spPr>
                </pic:pic>
              </a:graphicData>
            </a:graphic>
          </wp:inline>
        </w:drawing>
      </w:r>
      <w:r w:rsidDel="00000000" w:rsidR="00000000" w:rsidRPr="00000000">
        <w:rPr>
          <w:rFonts w:ascii="Google Sans" w:cs="Google Sans" w:eastAsia="Google Sans" w:hAnsi="Google Sans"/>
          <w:rtl w:val="0"/>
        </w:rPr>
        <w:t xml:space="preserve">), the firm faces a compliance deficit requiring immediate market procurement: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324290"/>
            <wp:effectExtent b="0" l="0" r="0" t="0"/>
            <wp:docPr id="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05500" cy="32429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Each CCC corresponds exactly to one metric tonne of carbon dioxide equivalent.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engine simultaneously facilitates the rigorous audit workflows demanded by the ICM registry, automating the compilation of Performance Assessment Documents to satisfy the verifications conducted by Accredited Carbon Verification Agencies (ACVAs).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Global Trade Integration: The EU CBAM Definitive Phase Module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enterprise risk engine operating in 2026 cannot treat the Indian domestic compliance market in isolation. The European Union’s Carbon Border Adjustment Mechanism (CBAM) officially transitioned from its transitional reporting phase into its definitive regime on January 1, 2026.</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transition creates immediate, severe financial exposure for Indian exporters, particularly in the steel, aluminium, and cement sectors, directly linking domestic industrial carbon intensity to global trade competitiveness.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Definitive Phase Reporting and Mandatory Verification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transitional phase (2023–2025) of CBAM functioned primarily as a data-gathering exercise without financial penalties attached to the emissions themselves. However, under the 2026 definitive regime, the regulatory landscape fundamentally shifts.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EU importers, or their authorized indirect customs representatives, who import more than a mass-based threshold of 50 tonnes of CBAM-covered goods must now acquire the status of "authorized CBAM declarants".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declarants are legally obligated to purchase and surrender CBAM certificates corresponding exactly to the embedded emissions verified within their imported goods.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Crucially, the reliance on generic regulatory default values has been aggressively phased out.</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Indian exporters are now strictly required to provide actual, primary emissions data for their product shipments.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verification requirements have been drastically escalated. Self-reported values are no longer acceptable under any circumstances.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annual emissions reports provided by Indian manufacturers must be subjected to rigorous third-party verification by EU-accredited auditors.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engine's integration logic accounts for the fact that for the first reporting period in 2026, the EU mandates physical on-site inspections for all exporting installations to validate the integrity of the data pipelines.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B2B risk engine leverages its core CCTS data pipeline to fulfill these stringent EU requirements. Because the gate-to-gate intensity calculations required for Indian GEI compliance overlap heavily with CBAM's embedded direct emissions parameters, the engine's architecture automatically maps domestic GEI outputs into the EU's mandated declaration formats.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continuous data harmonization streamlines the creation of verifiable monitoring plans, ensuring that Indian exporters maintain uninterrupted access to the European market.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May 2026 Implementing Act and Carbon Price Deductions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critical functional bridge between the Indian CCTS and the EU CBAM lies in the financial deduction mechanics. To prevent double taxation on carbon and respect the principle of common but differentiated responsibilities, the EU regulation allows importers to deduct any carbon price that has already been effectively paid in the country of origin.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May 13, 2026, the European Commission published a highly anticipated draft implementing act detailing exactly how these foreign carbon price deductions will operate.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risk engine's CBAM module algorithmically processes these complex deductions based on the following finalized rules: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Domestic Compliance Integration:</w:t>
      </w:r>
      <w:r w:rsidDel="00000000" w:rsidR="00000000" w:rsidRPr="00000000">
        <w:rPr>
          <w:rFonts w:ascii="Google Sans" w:cs="Google Sans" w:eastAsia="Google Sans" w:hAnsi="Google Sans"/>
          <w:rtl w:val="0"/>
        </w:rPr>
        <w:t xml:space="preserve"> The financial cost of CCCs procured under India's CCTS, or the internal abatement costs recognized by the Indian domestic regime, are fully deductible against the CBAM liability.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pricing engine utilizes yearly average primary or secondary market prices observed on the IEX, converted into Euros based on yearly average exchange rates, to automatically calculate the precise liability reduction for the exporter.</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International Credits and the 10% Cap:</w:t>
      </w:r>
      <w:r w:rsidDel="00000000" w:rsidR="00000000" w:rsidRPr="00000000">
        <w:rPr>
          <w:rFonts w:ascii="Google Sans" w:cs="Google Sans" w:eastAsia="Google Sans" w:hAnsi="Google Sans"/>
          <w:rtl w:val="0"/>
        </w:rPr>
        <w:t xml:space="preserve"> A major point of contention during the regulatory drafting was the role of international carbon offsets. Under the May 2026 act, Internationally Transferred Mitigation Outcomes (ITMOs) authorized under Article 6 of the Paris Agreement can be utilized for deductions.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However, to fiercely guard the environmental integrity of the system and prevent the influx of low-quality "phantom credits," the EU has instituted a strict quantitative limitation. The counting of these international credits is legally capped at 10% of the total reported embedded emissions for any given facility.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risk engine's optimization algorithms automatically constrain offset procurement recommendations to align with this 10% ceiling.</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Netting Allowances and Rebates:</w:t>
      </w:r>
      <w:r w:rsidDel="00000000" w:rsidR="00000000" w:rsidRPr="00000000">
        <w:rPr>
          <w:rFonts w:ascii="Google Sans" w:cs="Google Sans" w:eastAsia="Google Sans" w:hAnsi="Google Sans"/>
          <w:rtl w:val="0"/>
        </w:rPr>
        <w:t xml:space="preserve"> The deduction calculation is not simply gross carbon costs. The engine dynamically subtracts any free allowances, compensation, or state-level subsidies that the Indian facility received during the compliance year.</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rigorous netting process ensures that only the absolute net carbon cost borne by the manufacturer is transmitted to the EU importer for deduction.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Certificate Pricing Dynamics:</w:t>
      </w:r>
      <w:r w:rsidDel="00000000" w:rsidR="00000000" w:rsidRPr="00000000">
        <w:rPr>
          <w:rFonts w:ascii="Google Sans" w:cs="Google Sans" w:eastAsia="Google Sans" w:hAnsi="Google Sans"/>
          <w:rtl w:val="0"/>
        </w:rPr>
        <w:t xml:space="preserve"> The price of the CBAM certificates themselves is dynamically pegged to the auction price of EU ETS allowances. For imports occurring in 2026, the price is calculated as a quarterly average. The engine anticipates that from 2027 onwards, this calculation will accelerate to a weekly average, vastly increasing the volatility exposure for exporters and demanding higher-frequency hedging strategies.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cross-jurisdictional optimization feature effectively transforms the software from a localized compliance burden into an indispensable margin-protection tool, securing dual revenue streams for the software provider from both domestic compliance officers and export-focused commercial directors.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Comparative Macroeconomics: Intensity-Based Models in China and India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accurately model long-term compliance liabilities, predict policy shifts, and train robust pricing algorithms, the engine incorporates predictive regulatory logic drawn from comparative market architectures. India’s CCTS does not exist in a vacuum; it closely mirrors the structural evolution of China’s National ETS, the world's largest carbon market.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Both of these Asian economic giants deploy an intensity-based "baseline-and-credit" methodology rather than the absolute cap-and-trade system pioneered by the EU ETS.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Strategic Logic of Output-Based Benchmarking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Intensity-based systems are deliberately designed for developing, high-growth economies. By linking carbon allowances directly to product output rather than imposing hard, unyielding emission ceilings, these systems permit absolute industrial emissions to rise so long as the industrial efficiency—measured as emissions per unit of economic output—improves.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structural design prevents carbon pricing from artificially strangling economic expansion and heavy infrastructure development.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However, from a quantitative modeling perspective, this output-based free allocation creates severe complications, as total market supply becomes a dynamic function of national industrial production rather than a fixed regulatory parameter.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China's 2025-2026 Sector Expansion and Benchmarking Dynamics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China initially launched its national ETS in 2021 focusing exclusively on the power sector, utilizing distinct fuel- and technology-specific benchmarks.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However, in a major policy acceleration throughout 2024 and 2025, China aggressively expanded the ETS to cover the steel, cement, and aluminium sectors.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expansion incorporated approximately 1,500 highly polluting sites, adding 3 billion tonnes of emissions to the ledger and raising the total market coverage from 40% to roughly 60% of national emissions.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regulatory mechanics of this expansion provide a direct predictive roadmap for India's CCTS. For the initial year of sector expansion in 2024–2025, China utilized a pure grandfathering approach, allocating free allowances equal to the verified historical emissions of the facilities.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transitional phase was designed to build monitoring capacity and familiarize heavy industries with the registry infrastructure without immediately imposing financial pain.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subsequent 2026 and 2027 compliance cycles, the Chinese system shifted to strict carbon intensity controls, establishing baselines using average or advanced levels of carbon emissions per unit of output.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Facilities emitting below the baseline accumulate surplus allowances, while those exceeding it face immediate shortages, exactly mirroring the current phase of India's CCTS implementation.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The Inevitable Transition to Absolute Caps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predictive architecture of the Indian risk engine operates on the assumption that India will ultimately follow China’s long-term regulatory trajectory. Landmark policy documents released by the State Council of China in late 2025 indicated a profound shift in market design. The documents detailed that starting in 2027, sectors with relatively stable emission profiles will transition away from intensity-based benchmarks and will be subjected to absolute emissions cap controls.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At that juncture, increases in industrial production will no longer automatically result in higher allowance allocations, fundamentally altering the supply-demand balance of the market.</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pricing engine assumes that to maintain alignment with Net Zero 2070 commitments and to fully mitigate the border tax exposure created by the EU CBAM, India’s BEE will similarly transition the CCTS toward absolute caps by 2030.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forecasted policy transition is hard-coded into the engine's long-term horizon risk models.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Liquidity Fragmentation and Volatility Control Mechanisms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Both the Chinese and Indian intensity-based markets face severe structural liquidity and volatility challenges due to heterogeneous marginal abatement costs and lenient early-stage allocation rules. In China, generous free allocation benchmarking and unlimited banking rules led to significant allowance surpluses.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This oversupply severely depressed market prices, with Chinese carbon credits trading at an average of roughly €13/tonne in early 2025, compared to €74 to €80/tonne in the mature EU ETS.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India has proactively attempted to manage this volatility and avoid the price collapse observed in China by instituting statutory price bands. The Central Electricity Regulatory Commission (CERC) has established a price corridor featuring a guaranteed "Floor Price" and a statutory maximum "Forbearance Price".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this price collar dampens extreme intraday price swings, quantitative analyses indicate that it alone cannot clear a structural market surplus and may result in artificially stagnant liquidity.</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risk engine's algorithms account for this artificial price floor, recognizing that true price discovery on the IEX will only occur when the forbearance band is breached during the July compliance season panics.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Exhaustive Evaluation of Quantitative Pricing Models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Calculating GEI quotas and mapping regulatory timelines are essential operational functions, but the apex utility and core intellectual property of the enterprise software reside in its Quantitative Pricing Architecture.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Carbon markets are notorious among quantitative analysts for exhibiting stylized econometric facts that fundamentally break standard equity or commodity forecasting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Carbon prices display severe non-stationarity, extreme volatility clustering, unpredictable jump-diffusions driven entirely by arbitrary regulatory announcements, and highly leptokurtic (fat-tailed) return distributions.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Relying on deterministic forecasting or simple linear regression in this environment guarantees catastrophic financial miscalculations.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exhaustive, rigorous evaluation of forecasting methodologies was conducted, leveraging peer-reviewed quantitative finance literature updated through May 2026, to select the most robust algorithmic core for the pricing engine.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Traditional Econometric Models: ARIMA and GARCH Variants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Initially, the risk engine's roadmap proposed a dual-layer, integrated ARIMA-GARCH framework to handle price projections.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ARIMAX (Autoregressive Integrated Moving Average with Exogenous Inputs):</w:t>
      </w:r>
      <w:r w:rsidDel="00000000" w:rsidR="00000000" w:rsidRPr="00000000">
        <w:rPr>
          <w:rFonts w:ascii="Google Sans" w:cs="Google Sans" w:eastAsia="Google Sans" w:hAnsi="Google Sans"/>
          <w:rtl w:val="0"/>
        </w:rPr>
        <w:t xml:space="preserve"> The base layer was designed to capture the linear dependencies and mean returns driven by exogenous macroeconomic factors. Because carbon prices are heavily influenced by external variables—such as crude oil prices, equity indices like the NIFTY 50, and currency exchange rates—an ARIMAX model is theoretically superior to a simple univariate ARIMA.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optimized with Least Absolute Shrinkage and Selection Operator (LASSO) regression techniques for strict feature selection, ARIMAX yields low Mean Squared Errors (MSE) during periods of stable market conditions.</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GARCH (Generalized Autoregressive Conditional Heteroskedasticity):</w:t>
      </w:r>
      <w:r w:rsidDel="00000000" w:rsidR="00000000" w:rsidRPr="00000000">
        <w:rPr>
          <w:rFonts w:ascii="Google Sans" w:cs="Google Sans" w:eastAsia="Google Sans" w:hAnsi="Google Sans"/>
          <w:rtl w:val="0"/>
        </w:rPr>
        <w:t xml:space="preserve"> The residual error terms in carbon models are rarely constant (homoskedastic). Carbon prices frequently exhibit volatility clustering, where periods of high turbulence follow significant policy shifts.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GARCH models, particularly asymmetric variants like Exponential GARCH (EGARCH) and GJR-GARCH, are designed to model this conditional variance.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Crucially, they attempt to capture the "leverage effect"—the empirical reality that carbon markets react far more aggressively and asymmetrically to news regarding regulatory tightening than they do to news of market oversupply.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Empirical Limitations:</w:t>
      </w:r>
      <w:r w:rsidDel="00000000" w:rsidR="00000000" w:rsidRPr="00000000">
        <w:rPr>
          <w:rFonts w:ascii="Google Sans" w:cs="Google Sans" w:eastAsia="Google Sans" w:hAnsi="Google Sans"/>
          <w:rtl w:val="0"/>
        </w:rPr>
        <w:t xml:space="preserve"> While ARIMAX-GARCH frameworks handle linear trends and basic volatility clustering adequately, extensive empirical evaluations conducted in 2025 and 2026 across global ETS pilots demonstrated that these models fail significantly during high-frequency volatility shocks and non-linear market phase transitions.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inherent assumption of constant parameter drift in ARIMA is violently violated by the sudden jump-diffusions characteristic of carbon compliance deadlines. Consequently, pure econometric models are insufficient for enterprise-grade hedging strategies.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Deep Learning Paradigms: LSTM Networks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address the non-linear shortcomings of econometric models, quantitative researchers turned to deep learning, primarily Long Short-Term Memory (LSTM) networks. As a specialized architecture of Recurrent Neural Networks (RNNs), LSTMs are engineered to overcome the vanishing gradient problems that plague standard neural networks.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By utilizing a complex architecture of forget gates, input gates, and output gates, LSTMs maintain long-term memory of time-series dependencies while effectively filtering out short-term noise.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Performance Evaluation:</w:t>
      </w:r>
      <w:r w:rsidDel="00000000" w:rsidR="00000000" w:rsidRPr="00000000">
        <w:rPr>
          <w:rFonts w:ascii="Google Sans" w:cs="Google Sans" w:eastAsia="Google Sans" w:hAnsi="Google Sans"/>
          <w:rtl w:val="0"/>
        </w:rPr>
        <w:t xml:space="preserve"> 2026 research clearly indicates that multivariate LSTMs offer superior predictive capabilities compared to ARIMA and standard linear models, particularly in capturing complex, non-linear market patterns.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However, extensive testing revealed that standard LSTMs still struggle with extreme noise environments. In comparative experiments on the highly volatile Shenzhen ETS pilot market, a standard LSTM model exhibited an </w:t>
      </w:r>
      <w:r w:rsidDel="00000000" w:rsidR="00000000" w:rsidRPr="00000000">
        <w:rPr>
          <w:rFonts w:ascii="Google Sans" w:cs="Google Sans" w:eastAsia="Google Sans" w:hAnsi="Google Sans"/>
        </w:rPr>
        <w:drawing>
          <wp:inline distB="19050" distT="19050" distL="19050" distR="19050">
            <wp:extent cx="215106" cy="233811"/>
            <wp:effectExtent b="0" l="0" r="0" t="0"/>
            <wp:docPr id="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15106" cy="233811"/>
                    </a:xfrm>
                    <a:prstGeom prst="rect"/>
                    <a:ln/>
                  </pic:spPr>
                </pic:pic>
              </a:graphicData>
            </a:graphic>
          </wp:inline>
        </w:drawing>
      </w:r>
      <w:r w:rsidDel="00000000" w:rsidR="00000000" w:rsidRPr="00000000">
        <w:rPr>
          <w:rFonts w:ascii="Google Sans" w:cs="Google Sans" w:eastAsia="Google Sans" w:hAnsi="Google Sans"/>
          <w:rtl w:val="0"/>
        </w:rPr>
        <w:t xml:space="preserve"> (Goodness of Fit) of only 0.6614 and a high Mean Absolute Percentage Error (MAPE) of 4.0831%.</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decline highlights the distinct limitations of relying solely on traditional deep learning models to process the high noise and strong non-stationary features of nascent, volatile carbon markets.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State-of-the-Art Hybrids: Transformers and Signal Decomposition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unassailable, commercial-grade predictive accuracy, the pricing engine abandons single-paradigm models entirely in favor of advanced deep-learning hybrids that utilize signal decomposition and self-attention mechanisms.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Signal Decomposition:</w:t>
      </w:r>
      <w:r w:rsidDel="00000000" w:rsidR="00000000" w:rsidRPr="00000000">
        <w:rPr>
          <w:rFonts w:ascii="Google Sans" w:cs="Google Sans" w:eastAsia="Google Sans" w:hAnsi="Google Sans"/>
          <w:rtl w:val="0"/>
        </w:rPr>
        <w:t xml:space="preserve"> Raw carbon price data is effectively a chaotic superposition of varying frequencies containing long-term trends, seasonal cycles, and high-frequency noise.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2026 research highlights the absolute necessity of preprocessing this data using advanced signal decomposition methods such as ICEEMDAN (Improved Complete Ensemble Empirical Mode Decomposition with Adaptive Noise) or VMD (Variational Mode Decomposition).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These algorithms adaptively decompose the chaotic original price sequence into multiple, relatively stable Intrinsic Mode Functions (IMFs). This process suppresses mode aliasing and effectively filters out noise interference before the data ever reaches the neural network.</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Transformer Architecture:</w:t>
      </w:r>
      <w:r w:rsidDel="00000000" w:rsidR="00000000" w:rsidRPr="00000000">
        <w:rPr>
          <w:rFonts w:ascii="Google Sans" w:cs="Google Sans" w:eastAsia="Google Sans" w:hAnsi="Google Sans"/>
          <w:rtl w:val="0"/>
        </w:rPr>
        <w:t xml:space="preserve"> While LSTMs process data sequentially—which can limit their ability to capture extreme long-range dependencies—Transformer models utilize multi-head self-attention mechanisms. This allows the network to process sequence data in parallel, dynamically calculating attention weights to determine the importance of all past data points regardless of their temporal distance.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architecture is vastly superior at identifying the delayed impact of macroeconomic shocks on current spot prices.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The Optimal Model Selection: WOA-VMD-sLSTM-Transformer / ICEEMDAN-CNN-LSTM</w:t>
      </w:r>
      <w:r w:rsidDel="00000000" w:rsidR="00000000" w:rsidRPr="00000000">
        <w:rPr>
          <w:rFonts w:ascii="Google Sans" w:cs="Google Sans" w:eastAsia="Google Sans" w:hAnsi="Google Sans"/>
          <w:rtl w:val="0"/>
        </w:rPr>
        <w:t xml:space="preserve"> The optimal, state-of-the-art configuration for the pricing engine is a hybrid "Decomposition–Extraction–Fitting" architecture.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Based on rigorous 2026 empirical validations utilizing datasets from Chinese pilot markets and EU ETS futures, hybrid models that integrate signal decomposition (ICEEMDAN or VMD), local feature extraction (CNN or sLSTM), and global dependency modeling (LSTM or Transformer) significantly and consistently outperform all baseline models.</w:t>
      </w:r>
      <w:r w:rsidDel="00000000" w:rsidR="00000000" w:rsidRPr="00000000">
        <w:rPr>
          <w:rFonts w:ascii="Google Sans" w:cs="Google Sans" w:eastAsia="Google Sans" w:hAnsi="Google Sans"/>
          <w:sz w:val="24"/>
          <w:szCs w:val="24"/>
          <w:vertAlign w:val="superscript"/>
          <w:rtl w:val="0"/>
        </w:rPr>
        <w:t xml:space="preserve">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Model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Mean Absolute Error (MAE)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Root Mean Square Error (RMSE)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R2 (Goodness of Fit)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Mean Absolute Percentage Error (MAPE)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ARIMA-GARCH / Linear Baselines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 Reference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 Reference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~0.75 - 0.82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Standard LSTM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~2.70 - 2.80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~3.10 - 4.15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0.6614 - 0.8921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1.68% - 4.08%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Transformer (Standalone)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1.2798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1.5775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0.7494 - 0.9353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1.31% - 3.14%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ICEEMDAN-CNN-LSTM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1.140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(Reduced by 59.1% vs LSTM)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Reduced by 57.2% vs LSTM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&gt; 0.95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Reduced by 57.0% vs LSTM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WOA-VMD-sLSTM-Transformer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&lt; 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&lt; 1.20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0.9817 - 0.9862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0.56% - 0.67%</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2: Quantitative comparison of carbon price forecasting models based on May 2026 peer-reviewed research evaluations.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hybrid decomposition-attention models demonstrate massive, statistically significant reductions in all error metrics.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Final Implementation Architecture:</w:t>
      </w:r>
      <w:r w:rsidDel="00000000" w:rsidR="00000000" w:rsidRPr="00000000">
        <w:rPr>
          <w:rFonts w:ascii="Google Sans" w:cs="Google Sans" w:eastAsia="Google Sans" w:hAnsi="Google Sans"/>
          <w:rtl w:val="0"/>
        </w:rPr>
        <w:t xml:space="preserve"> The enterprise engine will implement the </w:t>
      </w:r>
      <w:r w:rsidDel="00000000" w:rsidR="00000000" w:rsidRPr="00000000">
        <w:rPr>
          <w:rFonts w:ascii="Google Sans" w:cs="Google Sans" w:eastAsia="Google Sans" w:hAnsi="Google Sans"/>
          <w:b w:val="1"/>
          <w:bCs w:val="1"/>
          <w:rtl w:val="0"/>
        </w:rPr>
        <w:t xml:space="preserve">WOA-VMD-sLSTM-Transformer</w:t>
      </w:r>
      <w:r w:rsidDel="00000000" w:rsidR="00000000" w:rsidRPr="00000000">
        <w:rPr>
          <w:rFonts w:ascii="Google Sans" w:cs="Google Sans" w:eastAsia="Google Sans" w:hAnsi="Google Sans"/>
          <w:rtl w:val="0"/>
        </w:rPr>
        <w:t xml:space="preserve"> architecture. The Whale Optimization Algorithm (WOA) will be utilized to automatically and continuously tune the critical parameters of the VMD process.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resulting clean, decomposed signals will be fed into a stacked sLSTM layer to capture local, short-term non-linear dynamics. Finally, the multi-head Transformer component will process global macroeconomic dependencies (e.g., EU ETS weekly prices, NIFTY 50 energy indices, CERC regulatory announcements).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specific hybrid setup achieves a near-perfect </w:t>
      </w:r>
      <w:r w:rsidDel="00000000" w:rsidR="00000000" w:rsidRPr="00000000">
        <w:rPr>
          <w:rFonts w:ascii="Google Sans" w:cs="Google Sans" w:eastAsia="Google Sans" w:hAnsi="Google Sans"/>
        </w:rPr>
        <w:drawing>
          <wp:inline distB="19050" distT="19050" distL="19050" distR="19050">
            <wp:extent cx="215106" cy="233811"/>
            <wp:effectExtent b="0" l="0" r="0" t="0"/>
            <wp:docPr id="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15106" cy="233811"/>
                    </a:xfrm>
                    <a:prstGeom prst="rect"/>
                    <a:ln/>
                  </pic:spPr>
                </pic:pic>
              </a:graphicData>
            </a:graphic>
          </wp:inline>
        </w:drawing>
      </w:r>
      <w:r w:rsidDel="00000000" w:rsidR="00000000" w:rsidRPr="00000000">
        <w:rPr>
          <w:rFonts w:ascii="Google Sans" w:cs="Google Sans" w:eastAsia="Google Sans" w:hAnsi="Google Sans"/>
          <w:rtl w:val="0"/>
        </w:rPr>
        <w:t xml:space="preserve"> of 0.9862 and a MAPE of just 0.5607%.</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establishes an impenetrable mathematical moat against deterministic competitors, allowing the engine to provide highly reliable forward price curves even during periods of extreme CCTS market stress.</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Stochastic Risk Management and Portfolio Optimization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generating accurate price forecasts is technically impressive, the ultimate commercial utility of the B2B software lies in enterprise risk management. Translating highly complex econometric forecasts into actionable, boardroom-ready financial intelligence requires quantifying tail risk, managing transition shocks, and providing clear procurement directives to corporate treasurers.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The "Watchdog" Module and Preemptive Hedging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software architecture includes a dynamic "Watchdog" module that functions as an autonomous, always-on CFO risk officer.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applying moving averages, seasonal decomposition, and real-time production telemetry to a facility's industrial output, the engine continuously maps the forecasted GEI trajectory against the strict BEE compliance threshold.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engine calculates the real-time probability of breaching the target at the end of the compliance period: </w:t>
      </w:r>
      <w:r w:rsidDel="00000000" w:rsidR="00000000" w:rsidRPr="00000000">
        <w:rPr>
          <w:rFonts w:ascii="Google Sans" w:cs="Google Sans" w:eastAsia="Google Sans" w:hAnsi="Google Sans"/>
        </w:rPr>
        <w:drawing>
          <wp:inline distB="19050" distT="19050" distL="19050" distR="19050">
            <wp:extent cx="1979933" cy="237973"/>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979933" cy="237973"/>
                    </a:xfrm>
                    <a:prstGeom prst="rect"/>
                    <a:ln/>
                  </pic:spPr>
                </pic:pic>
              </a:graphicData>
            </a:graphic>
          </wp:inline>
        </w:drawing>
      </w:r>
      <w:r w:rsidDel="00000000" w:rsidR="00000000" w:rsidRPr="00000000">
        <w:rPr>
          <w:rFonts w:ascii="Google Sans" w:cs="Google Sans" w:eastAsia="Google Sans" w:hAnsi="Google Sans"/>
          <w:rtl w:val="0"/>
        </w:rPr>
        <w:t xml:space="preserve">. If this probability exceeds the corporation's predefined risk tolerance (e.g., 5%), the Watchdog automatically triggers a preemptive market mandate.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vital feature shifts the firm's procurement strategy from reactive compliance (being forced to buy expensive spot CCCs during the July liquidity crunch) to proactive asset-liability management (executing block purchases of forward contracts when the Transformer pricing engine identifies a temporary dip in exchange prices).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Tail-Risk Quantification: Climate Value at Risk (VaR) and Expected Shortfall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non-compliance with the CCTS carries a severe environmental compensation penalty strictly fixed at twice the average market price of a CCC, tail-risk quantification is mission-critical.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Value at Risk (VaR) models, which assume normal Gaussian market distributions, fundamentally fail in carbon markets because they cannot capture the leptokurtic severity of regulatory shocks and forbearance price adjustments.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this critical flaw, the risk engine calculates </w:t>
      </w:r>
      <w:r w:rsidDel="00000000" w:rsidR="00000000" w:rsidRPr="00000000">
        <w:rPr>
          <w:rFonts w:ascii="Google Sans" w:cs="Google Sans" w:eastAsia="Google Sans" w:hAnsi="Google Sans"/>
          <w:b w:val="1"/>
          <w:bCs w:val="1"/>
          <w:rtl w:val="0"/>
        </w:rPr>
        <w:t xml:space="preserve">Conditional VaR (CVaR)</w:t>
      </w:r>
      <w:r w:rsidDel="00000000" w:rsidR="00000000" w:rsidRPr="00000000">
        <w:rPr>
          <w:rFonts w:ascii="Google Sans" w:cs="Google Sans" w:eastAsia="Google Sans" w:hAnsi="Google Sans"/>
          <w:rtl w:val="0"/>
        </w:rPr>
        <w:t xml:space="preserve">, also known as Expected Shortfall. CVaR measures the expected magnitude of financial loss </w:t>
      </w:r>
      <w:r w:rsidDel="00000000" w:rsidR="00000000" w:rsidRPr="00000000">
        <w:rPr>
          <w:rFonts w:ascii="Google Sans" w:cs="Google Sans" w:eastAsia="Google Sans" w:hAnsi="Google Sans"/>
          <w:i w:val="1"/>
          <w:iCs w:val="1"/>
          <w:rtl w:val="0"/>
        </w:rPr>
        <w:t xml:space="preserve">given</w:t>
      </w:r>
      <w:r w:rsidDel="00000000" w:rsidR="00000000" w:rsidRPr="00000000">
        <w:rPr>
          <w:rFonts w:ascii="Google Sans" w:cs="Google Sans" w:eastAsia="Google Sans" w:hAnsi="Google Sans"/>
          <w:rtl w:val="0"/>
        </w:rPr>
        <w:t xml:space="preserve"> that the loss has already exceeded the VaR threshold: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324290"/>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05500" cy="32429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125571" cy="241483"/>
            <wp:effectExtent b="0" l="0" r="0" t="0"/>
            <wp:docPr id="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125571" cy="241483"/>
                    </a:xfrm>
                    <a:prstGeom prst="rect"/>
                    <a:ln/>
                  </pic:spPr>
                </pic:pic>
              </a:graphicData>
            </a:graphic>
          </wp:inline>
        </w:drawing>
      </w:r>
      <w:r w:rsidDel="00000000" w:rsidR="00000000" w:rsidRPr="00000000">
        <w:rPr>
          <w:rFonts w:ascii="Google Sans" w:cs="Google Sans" w:eastAsia="Google Sans" w:hAnsi="Google Sans"/>
          <w:rtl w:val="0"/>
        </w:rPr>
        <w:t xml:space="preserve"> represents the total financial loss, calculated by multiplying the forecasted compliance deficit by the stochastic CCC price penalty.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The Monte Carlo Simulation Engine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populate the CVaR metrics with rigorous data, the engine runs tens of thousands of Monte Carlo simulations overnight. These simulations utilize a Geometric Brownian Motion (GBM) model coupled with a Poisson jump-diffusion process to simulate the future CCC spot price.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jump parameter mathematically models the sudden, violent price shocks intrinsic to compliance markets, such as unanticipated CERC regulatory announcements or macro-climate supply chain disruptions.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crossing matrices of simulated carbon prices with matrices of simulated operational output deficits, the engine generates a holistic probability distribution of total compliance costs. This enables the treasury department to maintain exact capital reserves against 99th-percentile CCTS exposure, satisfying the increasingly strict audit mandates of the Task Force on Climate-related Financial Disclosures (TCFD).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Operational Roadmap and Go-To-Market Execution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Transforming this highly sophisticated theoretical and mathematical architecture into a commercially viable SaaS product requires relentless, disciplined execution. The founder operating plan structures the go-to-market strategy across a 28-month horizon, systematically eliminating product, data, and financial risks for a solo technical founder.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Foundational Assumptions and Risk Mitigation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Every phase of the operational roadmap rests on carefully audited assumptions. The market thesis assumes the confirmed presence of over 490 obligated entities, with carbon trading officially launching on the IEX by Q4 2026.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commercial thesis assumes that industrial OEs are willing to pay ₹2–5 lakh per facility annually for localized compliance software, a fraction of the cost of a Big 4 consulting engagement.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risk is integration friction—specifically, the refusal of traditional industrial conglomerates to grant a startup API access to their core ERP systems. The mitigation strategy is aggressive: never let ERP integration be a prerequisite for the software to function. The product must launch with manual CSV and PDF ingestion, adding complex APIs only after the client has verified the algorithmic value.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Phased Development Architecture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Phase 0: Foundation (Months 1–2)</w:t>
      </w:r>
      <w:r w:rsidDel="00000000" w:rsidR="00000000" w:rsidRPr="00000000">
        <w:rPr>
          <w:rFonts w:ascii="Google Sans" w:cs="Google Sans" w:eastAsia="Google Sans" w:hAnsi="Google Sans"/>
          <w:rtl w:val="0"/>
        </w:rPr>
        <w:t xml:space="preserve"> The immediate objective is establishing technical credibility before market entry. Engineering effort is strictly limited to building a lightweight Streamlit dashboard that deploys the basic GEI formula using hard-coded BEE sector targets.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Concurrently, the quantitative thesis detailing the Transformer architecture is published as an SSRN working paper to signal domain authority to targeted CFOs.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Gate Condition:</w:t>
      </w:r>
      <w:r w:rsidDel="00000000" w:rsidR="00000000" w:rsidRPr="00000000">
        <w:rPr>
          <w:rFonts w:ascii="Google Sans" w:cs="Google Sans" w:eastAsia="Google Sans" w:hAnsi="Google Sans"/>
          <w:rtl w:val="0"/>
        </w:rPr>
        <w:t xml:space="preserve"> A working URL demonstrating the compliance risk and penalty probability for a single cement plant, utilizing synthetic data and public sustainability filings (e.g., UltraTech Cement ESG reports).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Phase 1: Pilots and Data Intake (Months 2–7)</w:t>
      </w:r>
      <w:r w:rsidDel="00000000" w:rsidR="00000000" w:rsidRPr="00000000">
        <w:rPr>
          <w:rFonts w:ascii="Google Sans" w:cs="Google Sans" w:eastAsia="Google Sans" w:hAnsi="Google Sans"/>
          <w:rtl w:val="0"/>
        </w:rPr>
        <w:t xml:space="preserve"> Algorithms are entirely useless without high-fidelity data. The primary goal is to secure three industrial facilities as free pilots.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bypass IT department resistance against API integrations, the engine deploys an AI-powered document extraction layer. By utilizing Large Language Models (LLMs) to parse raw, unstructured monthly fuel invoices, PAT compliance filings, and PDF CEMS reports directly into the GEI database schema, the software removes all onboarding friction.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Gate Condition:</w:t>
      </w:r>
      <w:r w:rsidDel="00000000" w:rsidR="00000000" w:rsidRPr="00000000">
        <w:rPr>
          <w:rFonts w:ascii="Google Sans" w:cs="Google Sans" w:eastAsia="Google Sans" w:hAnsi="Google Sans"/>
          <w:rtl w:val="0"/>
        </w:rPr>
        <w:t xml:space="preserve"> Uninterrupted flow of real operational data from pilot clients, establishing the foundation for the first proprietary sector benchmarking datasets.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Phase 2: Revenue and Integration (Months 8–16)</w:t>
      </w:r>
      <w:r w:rsidDel="00000000" w:rsidR="00000000" w:rsidRPr="00000000">
        <w:rPr>
          <w:rFonts w:ascii="Google Sans" w:cs="Google Sans" w:eastAsia="Google Sans" w:hAnsi="Google Sans"/>
          <w:rtl w:val="0"/>
        </w:rPr>
        <w:t xml:space="preserve"> Free pilots are converted to paid commercial contracts based exclusively on the financial pain of compliance penalties highlighted by the Watchdog module.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revenue flows, the product scales to Tier 2 semi-automated integration, deploying lightweight Python scripts to extract fuel ledgers from local instances of Tally Prime and SAP.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Simultaneously, the CBAM declaration module goes live, creating an immediate secondary value proposition for clients exporting steel and cement to the EU.</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Gate Condition:</w:t>
      </w:r>
      <w:r w:rsidDel="00000000" w:rsidR="00000000" w:rsidRPr="00000000">
        <w:rPr>
          <w:rFonts w:ascii="Google Sans" w:cs="Google Sans" w:eastAsia="Google Sans" w:hAnsi="Google Sans"/>
          <w:rtl w:val="0"/>
        </w:rPr>
        <w:t xml:space="preserve"> Achieving ₹30 lakh Annual Recurring Revenue (ARR) from at least five active, paying facilities.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Phase 3: Scale and Institutional Moat (Months 17–28)</w:t>
      </w:r>
      <w:r w:rsidDel="00000000" w:rsidR="00000000" w:rsidRPr="00000000">
        <w:rPr>
          <w:rFonts w:ascii="Google Sans" w:cs="Google Sans" w:eastAsia="Google Sans" w:hAnsi="Google Sans"/>
          <w:rtl w:val="0"/>
        </w:rPr>
        <w:t xml:space="preserve"> The full WOA-VMD-sLSTM-Transformer pricing engine is deployed to production, trained on 12+ months of proprietary, scraped IEX trading data.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top-tier conglomerate clients, Tier 3 real-time CEMS integration is enabled via localized MODBUS and OPC-UA hardware gateways.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Gate Condition:</w:t>
      </w:r>
      <w:r w:rsidDel="00000000" w:rsidR="00000000" w:rsidRPr="00000000">
        <w:rPr>
          <w:rFonts w:ascii="Google Sans" w:cs="Google Sans" w:eastAsia="Google Sans" w:hAnsi="Google Sans"/>
          <w:rtl w:val="0"/>
        </w:rPr>
        <w:t xml:space="preserve"> Reaching ₹1–3 Crore ARR and achieving Series A venture capital readiness, with the software successfully positioned not as an ESG dashboard, but as core Indian carbon market financial infrastructure.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The Multi-Tiered Data Acquisition Moat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long-term competitive advantage of the enterprise engine is intrinsically tied to data asymmetry.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Tier 1 (Public Regulatory):</w:t>
      </w:r>
      <w:r w:rsidDel="00000000" w:rsidR="00000000" w:rsidRPr="00000000">
        <w:rPr>
          <w:rFonts w:ascii="Google Sans" w:cs="Google Sans" w:eastAsia="Google Sans" w:hAnsi="Google Sans"/>
          <w:rtl w:val="0"/>
        </w:rPr>
        <w:t xml:space="preserve"> Immediately aggregating and hard-coding notifications from the BEE, price bands from the CERC, and State grid emission factors from the CEA.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Tier 2 (Client Operational):</w:t>
      </w:r>
      <w:r w:rsidDel="00000000" w:rsidR="00000000" w:rsidRPr="00000000">
        <w:rPr>
          <w:rFonts w:ascii="Google Sans" w:cs="Google Sans" w:eastAsia="Google Sans" w:hAnsi="Google Sans"/>
          <w:rtl w:val="0"/>
        </w:rPr>
        <w:t xml:space="preserve"> The continuous monthly aggregation of high-resolution fuel consumption, production output, and electricity units from pilot facilities.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Tier 3 (Proprietary Asset):</w:t>
      </w:r>
      <w:r w:rsidDel="00000000" w:rsidR="00000000" w:rsidRPr="00000000">
        <w:rPr>
          <w:rFonts w:ascii="Google Sans" w:cs="Google Sans" w:eastAsia="Google Sans" w:hAnsi="Google Sans"/>
          <w:rtl w:val="0"/>
        </w:rPr>
        <w:t xml:space="preserve"> By Month 12, the aggregation of client data creates anonymized sector GEI benchmarks and CBAM embedded carbon profiles. Once the engine aggregates operational data from 10+ cement or steel facilities, it holds a localized benchmark database that global competitors (e.g., Persefoni, Watershed) fundamentally lack the regional penetration to replicate.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7.4 Enterprise Monetization Architecture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Monetizing a highly complex, computationally heavy B2B algorithmic product requires abandoning basic per-seat software pricing. The engine deploys a Hybrid Consumption-Based Pricing Model, aligning the vendor's revenue directly with the client's usage and financial risk profile.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Tiered Annual Subscription:</w:t>
      </w:r>
      <w:r w:rsidDel="00000000" w:rsidR="00000000" w:rsidRPr="00000000">
        <w:rPr>
          <w:rFonts w:ascii="Google Sans" w:cs="Google Sans" w:eastAsia="Google Sans" w:hAnsi="Google Sans"/>
          <w:rtl w:val="0"/>
        </w:rPr>
        <w:t xml:space="preserve"> Secures highly predictable baseline ARR. This fee covers basic ERP/CEMS integration, continuous GEI tracking, and the automated generation of BEE and EU CBAM compliance reporting.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Usage-Based (Compute/API):</w:t>
      </w:r>
      <w:r w:rsidDel="00000000" w:rsidR="00000000" w:rsidRPr="00000000">
        <w:rPr>
          <w:rFonts w:ascii="Google Sans" w:cs="Google Sans" w:eastAsia="Google Sans" w:hAnsi="Google Sans"/>
          <w:rtl w:val="0"/>
        </w:rPr>
        <w:t xml:space="preserve"> Monetizes the massive computational load of running the multi-head Transformer models and the tens of thousands of Monte Carlo VaR simulations. Pricing scales dynamically with the frequency of treasury risk assessments requested by the client.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Outcome-Based (Hedging Performance):</w:t>
      </w:r>
      <w:r w:rsidDel="00000000" w:rsidR="00000000" w:rsidRPr="00000000">
        <w:rPr>
          <w:rFonts w:ascii="Google Sans" w:cs="Google Sans" w:eastAsia="Google Sans" w:hAnsi="Google Sans"/>
          <w:rtl w:val="0"/>
        </w:rPr>
        <w:t xml:space="preserve"> Captures a fraction of a basis point on the financial penalty exposure successfully hedged, or a percentage of the surplus CCCs successfully monetized on the exchanges on behalf of the client.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Strategic Conclusions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operationalization of the Indian Carbon Credit Trading Scheme, acting in immediate tandem with the definitive regime of the EU CBAM, forces a structural, irreversible evolution in global industrial economics. Corporate decarbonization is no longer a voluntary public relations exercise managed by sustainability teams; it is an aggressive, penalty-backed treasury function governed by statutory law.</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enterprise climate risk engine outlined in this blueprint directly capitalizes on this macroeconomic transition. By forcefully rejecting simplistic, backward-looking carbon accounting in favor of high-fidelity stochastic risk management, the software aligns perfectly with the immediate financial priorities of the corporate C-Suite. The programmatic integration of localized BEE gate-to-gate formulas, automated CBAM cross-border price deductions, and comparative predictive modeling based on China's ETS evolution provides unmatched regulatory depth.</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Crucially, the deployment of a WOA-VMD-sLSTM-Transformer hybrid architecture establishes an unassailable quantitative moat. By successfully isolating noise and modeling the non-linear, high-frequency jump-diffusions inherent to policy-driven carbon markets, the engine provides exceptional predictive accuracy (achieving an </w:t>
      </w:r>
      <w:r w:rsidDel="00000000" w:rsidR="00000000" w:rsidRPr="00000000">
        <w:rPr>
          <w:rFonts w:ascii="Google Sans" w:cs="Google Sans" w:eastAsia="Google Sans" w:hAnsi="Google Sans"/>
        </w:rPr>
        <w:drawing>
          <wp:inline distB="19050" distT="19050" distL="19050" distR="19050">
            <wp:extent cx="789146" cy="237695"/>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789146" cy="237695"/>
                    </a:xfrm>
                    <a:prstGeom prst="rect"/>
                    <a:ln/>
                  </pic:spPr>
                </pic:pic>
              </a:graphicData>
            </a:graphic>
          </wp:inline>
        </w:drawing>
      </w:r>
      <w:r w:rsidDel="00000000" w:rsidR="00000000" w:rsidRPr="00000000">
        <w:rPr>
          <w:rFonts w:ascii="Google Sans" w:cs="Google Sans" w:eastAsia="Google Sans" w:hAnsi="Google Sans"/>
          <w:rtl w:val="0"/>
        </w:rPr>
        <w:t xml:space="preserve">) that legacy econometric models simply cannot replicate.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Executed through a highly disciplined, phased operational roadmap targeting mid-market and enterprise industrial facilities, this architecture serves as the definitive operating system for financial survival, compliance, and strategic optimization in India’s emergent low-carbon economy.</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Carbon Market Quantitative Model.docx</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 obligations under India's Carbon Credit Trading, accessed on May 16, 2026, </w:t>
      </w:r>
      <w:hyperlink r:id="rId28">
        <w:r w:rsidDel="00000000" w:rsidR="00000000" w:rsidRPr="00000000">
          <w:rPr>
            <w:rFonts w:ascii="Google Sans" w:cs="Google Sans" w:eastAsia="Google Sans" w:hAnsi="Google Sans"/>
            <w:color w:val="0000ee"/>
            <w:sz w:val="24"/>
            <w:szCs w:val="24"/>
            <w:u w:val="single"/>
            <w:rtl w:val="0"/>
          </w:rPr>
          <w:t xml:space="preserve">https://icapcarbonaction.com/en/news/compliance-obligations-under-indias-carbon-credit-trading-scheme-enter-force-seven-sectors</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Carbon Emission Trading Price Predictions with the ..., accessed on May 16, 2026, </w:t>
      </w:r>
      <w:hyperlink r:id="rId29">
        <w:r w:rsidDel="00000000" w:rsidR="00000000" w:rsidRPr="00000000">
          <w:rPr>
            <w:rFonts w:ascii="Google Sans" w:cs="Google Sans" w:eastAsia="Google Sans" w:hAnsi="Google Sans"/>
            <w:color w:val="0000ee"/>
            <w:sz w:val="24"/>
            <w:szCs w:val="24"/>
            <w:u w:val="single"/>
            <w:rtl w:val="0"/>
          </w:rPr>
          <w:t xml:space="preserve">https://www.mdpi.com/2071-1050/18/10/4738</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STEEL ENTERS CHINA'S NATIONAL EMISSIONS TRADING, accessed on May 16, 2026, </w:t>
      </w:r>
      <w:hyperlink r:id="rId30">
        <w:r w:rsidDel="00000000" w:rsidR="00000000" w:rsidRPr="00000000">
          <w:rPr>
            <w:rFonts w:ascii="Google Sans" w:cs="Google Sans" w:eastAsia="Google Sans" w:hAnsi="Google Sans"/>
            <w:color w:val="0000ee"/>
            <w:sz w:val="24"/>
            <w:szCs w:val="24"/>
            <w:u w:val="single"/>
            <w:rtl w:val="0"/>
          </w:rPr>
          <w:t xml:space="preserve">https://transitionasia.org/wp-content/uploads/2025/03/EN_Steel-Enters-China-ETS.pdf</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eyes deducting carbon credits under CBAM | Latest Market News, accessed on May 16, 2026, </w:t>
      </w:r>
      <w:hyperlink r:id="rId31">
        <w:r w:rsidDel="00000000" w:rsidR="00000000" w:rsidRPr="00000000">
          <w:rPr>
            <w:rFonts w:ascii="Google Sans" w:cs="Google Sans" w:eastAsia="Google Sans" w:hAnsi="Google Sans"/>
            <w:color w:val="0000ee"/>
            <w:sz w:val="24"/>
            <w:szCs w:val="24"/>
            <w:u w:val="single"/>
            <w:rtl w:val="0"/>
          </w:rPr>
          <w:t xml:space="preserve">https://www.argusmedia.com/en/news-and-insights/latest-market-news/2826630-eu-eyes-deducting-carbon-credits-under-cbam</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Transformer—sLSTM Model - MDPI, accessed on May 16, 2026, </w:t>
      </w:r>
      <w:hyperlink r:id="rId32">
        <w:r w:rsidDel="00000000" w:rsidR="00000000" w:rsidRPr="00000000">
          <w:rPr>
            <w:rFonts w:ascii="Google Sans" w:cs="Google Sans" w:eastAsia="Google Sans" w:hAnsi="Google Sans"/>
            <w:color w:val="0000ee"/>
            <w:sz w:val="24"/>
            <w:szCs w:val="24"/>
            <w:u w:val="single"/>
            <w:rtl w:val="0"/>
          </w:rPr>
          <w:t xml:space="preserve">https://www.mdpi.com/2071-1050/18/5/2324</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notifies emission intensity targets for nine sectors under, accessed on May 16, 2026, </w:t>
      </w:r>
      <w:hyperlink r:id="rId33">
        <w:r w:rsidDel="00000000" w:rsidR="00000000" w:rsidRPr="00000000">
          <w:rPr>
            <w:rFonts w:ascii="Google Sans" w:cs="Google Sans" w:eastAsia="Google Sans" w:hAnsi="Google Sans"/>
            <w:color w:val="0000ee"/>
            <w:sz w:val="24"/>
            <w:szCs w:val="24"/>
            <w:u w:val="single"/>
            <w:rtl w:val="0"/>
          </w:rPr>
          <w:t xml:space="preserve">https://icapcarbonaction.com/en/news/india-notifies-emission-intensity-targets-nine-sectors-under-carbon-credit-trading-scheme</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Carbon Market: Key Insights on CCTS and Article 6, accessed on May 16, 2026, </w:t>
      </w:r>
      <w:hyperlink r:id="rId34">
        <w:r w:rsidDel="00000000" w:rsidR="00000000" w:rsidRPr="00000000">
          <w:rPr>
            <w:rFonts w:ascii="Google Sans" w:cs="Google Sans" w:eastAsia="Google Sans" w:hAnsi="Google Sans"/>
            <w:color w:val="0000ee"/>
            <w:sz w:val="24"/>
            <w:szCs w:val="24"/>
            <w:u w:val="single"/>
            <w:rtl w:val="0"/>
          </w:rPr>
          <w:t xml:space="preserve">https://offset8capital.com/articles/indian-carbon-market-ccts-article6/</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Sectors Under Carbon Credit Trading Scheme Explained, accessed on May 16, 2026, </w:t>
      </w:r>
      <w:hyperlink r:id="rId35">
        <w:r w:rsidDel="00000000" w:rsidR="00000000" w:rsidRPr="00000000">
          <w:rPr>
            <w:rFonts w:ascii="Google Sans" w:cs="Google Sans" w:eastAsia="Google Sans" w:hAnsi="Google Sans"/>
            <w:color w:val="0000ee"/>
            <w:sz w:val="24"/>
            <w:szCs w:val="24"/>
            <w:u w:val="single"/>
            <w:rtl w:val="0"/>
          </w:rPr>
          <w:t xml:space="preserve">https://sentra.world/blogs/ccts/sectors-under-carbon-credit-trading-scheme/</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the Carbon Credit Trading Scheme mean for the Indian, accessed on May 16, 2026, </w:t>
      </w:r>
      <w:hyperlink r:id="rId36">
        <w:r w:rsidDel="00000000" w:rsidR="00000000" w:rsidRPr="00000000">
          <w:rPr>
            <w:rFonts w:ascii="Google Sans" w:cs="Google Sans" w:eastAsia="Google Sans" w:hAnsi="Google Sans"/>
            <w:color w:val="0000ee"/>
            <w:sz w:val="24"/>
            <w:szCs w:val="24"/>
            <w:u w:val="single"/>
            <w:rtl w:val="0"/>
          </w:rPr>
          <w:t xml:space="preserve">https://www.lse.ac.uk/granthaminstitute/wp-content/uploads/2025/08/What-does-the-CCTS-mean-for-the-Indian-steel-sector.pdf</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SECTORAL INSIGHTS: INDUSTRY - NITI Aayog, accessed on May 16, 2026, </w:t>
      </w:r>
      <w:hyperlink r:id="rId37">
        <w:r w:rsidDel="00000000" w:rsidR="00000000" w:rsidRPr="00000000">
          <w:rPr>
            <w:rFonts w:ascii="Google Sans" w:cs="Google Sans" w:eastAsia="Google Sans" w:hAnsi="Google Sans"/>
            <w:color w:val="0000ee"/>
            <w:sz w:val="24"/>
            <w:szCs w:val="24"/>
            <w:u w:val="single"/>
            <w:rtl w:val="0"/>
          </w:rPr>
          <w:t xml:space="preserve">https://niti.gov.in/sites/default/files/2026-02/Scenarios-Towards-Viksit-Bharat-and-Net-Zero-Sectoral-Insights-Industry.pdf</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Border Adjustment Mechanism - Taxation and Customs Union, accessed on May 16, 2026, </w:t>
      </w:r>
      <w:hyperlink r:id="rId38">
        <w:r w:rsidDel="00000000" w:rsidR="00000000" w:rsidRPr="00000000">
          <w:rPr>
            <w:rFonts w:ascii="Google Sans" w:cs="Google Sans" w:eastAsia="Google Sans" w:hAnsi="Google Sans"/>
            <w:color w:val="0000ee"/>
            <w:sz w:val="24"/>
            <w:szCs w:val="24"/>
            <w:u w:val="single"/>
            <w:rtl w:val="0"/>
          </w:rPr>
          <w:t xml:space="preserve">https://taxation-customs.ec.europa.eu/carbon-border-adjustment-mechanism_en</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Green Ledger: India, CBAM &amp; Carbon Tax Guide 2026, accessed on May 16, 2026, </w:t>
      </w:r>
      <w:hyperlink r:id="rId39">
        <w:r w:rsidDel="00000000" w:rsidR="00000000" w:rsidRPr="00000000">
          <w:rPr>
            <w:rFonts w:ascii="Google Sans" w:cs="Google Sans" w:eastAsia="Google Sans" w:hAnsi="Google Sans"/>
            <w:color w:val="0000ee"/>
            <w:sz w:val="24"/>
            <w:szCs w:val="24"/>
            <w:u w:val="single"/>
            <w:rtl w:val="0"/>
          </w:rPr>
          <w:t xml:space="preserve">https://thetaxathlete.com/cbam-india-2026-guide/</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CBAM Definitive Phase: Exactly What Changes for Indian Exporters, accessed on May 16, 2026, </w:t>
      </w:r>
      <w:hyperlink r:id="rId40">
        <w:r w:rsidDel="00000000" w:rsidR="00000000" w:rsidRPr="00000000">
          <w:rPr>
            <w:rFonts w:ascii="Google Sans" w:cs="Google Sans" w:eastAsia="Google Sans" w:hAnsi="Google Sans"/>
            <w:color w:val="0000ee"/>
            <w:sz w:val="24"/>
            <w:szCs w:val="24"/>
            <w:u w:val="single"/>
            <w:rtl w:val="0"/>
          </w:rPr>
          <w:t xml:space="preserve">https://allfrontierglobal.com/blog/cbam-definitive-phase-2026.php</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Indian Exporter's Guide to EU CBAM - CarbonSettle, accessed on May 16, 2026, </w:t>
      </w:r>
      <w:hyperlink r:id="rId41">
        <w:r w:rsidDel="00000000" w:rsidR="00000000" w:rsidRPr="00000000">
          <w:rPr>
            <w:rFonts w:ascii="Google Sans" w:cs="Google Sans" w:eastAsia="Google Sans" w:hAnsi="Google Sans"/>
            <w:color w:val="0000ee"/>
            <w:sz w:val="24"/>
            <w:szCs w:val="24"/>
            <w:u w:val="single"/>
            <w:rtl w:val="0"/>
          </w:rPr>
          <w:t xml:space="preserve">https://carbonsettle.com/cbam-india-guide</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CBAM 2026 for Indian Exporters: The Definitive Compliance Guide, accessed on May 16, 2026, </w:t>
      </w:r>
      <w:hyperlink r:id="rId42">
        <w:r w:rsidDel="00000000" w:rsidR="00000000" w:rsidRPr="00000000">
          <w:rPr>
            <w:rFonts w:ascii="Google Sans" w:cs="Google Sans" w:eastAsia="Google Sans" w:hAnsi="Google Sans"/>
            <w:color w:val="0000ee"/>
            <w:sz w:val="24"/>
            <w:szCs w:val="24"/>
            <w:u w:val="single"/>
            <w:rtl w:val="0"/>
          </w:rPr>
          <w:t xml:space="preserve">https://encarbonsys.com/cbam-blog/cbam-india-exporters-guide-2026.html</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CBAM Verifiers: Complete Guide and Checklist for Indian, accessed on May 16, 2026, </w:t>
      </w:r>
      <w:hyperlink r:id="rId43">
        <w:r w:rsidDel="00000000" w:rsidR="00000000" w:rsidRPr="00000000">
          <w:rPr>
            <w:rFonts w:ascii="Google Sans" w:cs="Google Sans" w:eastAsia="Google Sans" w:hAnsi="Google Sans"/>
            <w:color w:val="0000ee"/>
            <w:sz w:val="24"/>
            <w:szCs w:val="24"/>
            <w:u w:val="single"/>
            <w:rtl w:val="0"/>
          </w:rPr>
          <w:t xml:space="preserve">https://www.thesustainabilitycloud.com/blog/eu-cbam-verifiers-complete-guide-and-checklist-for-indian-exporters-2026-ready/</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EU CBAM Rules Allow Carbon Credit Deductions, But Cap, accessed on May 16, 2026, </w:t>
      </w:r>
      <w:hyperlink r:id="rId44">
        <w:r w:rsidDel="00000000" w:rsidR="00000000" w:rsidRPr="00000000">
          <w:rPr>
            <w:rFonts w:ascii="Google Sans" w:cs="Google Sans" w:eastAsia="Google Sans" w:hAnsi="Google Sans"/>
            <w:color w:val="0000ee"/>
            <w:sz w:val="24"/>
            <w:szCs w:val="24"/>
            <w:u w:val="single"/>
            <w:rtl w:val="0"/>
          </w:rPr>
          <w:t xml:space="preserve">https://carbonherald.com/draft-eu-cbam-rules-allow-carbon-credit-deductions-but-cap-international-credits-at-10/</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CBAM 2026: What Has Changed and What You Must Do Now |, accessed on May 16, 2026, </w:t>
      </w:r>
      <w:hyperlink r:id="rId45">
        <w:r w:rsidDel="00000000" w:rsidR="00000000" w:rsidRPr="00000000">
          <w:rPr>
            <w:rFonts w:ascii="Google Sans" w:cs="Google Sans" w:eastAsia="Google Sans" w:hAnsi="Google Sans"/>
            <w:color w:val="0000ee"/>
            <w:sz w:val="24"/>
            <w:szCs w:val="24"/>
            <w:u w:val="single"/>
            <w:rtl w:val="0"/>
          </w:rPr>
          <w:t xml:space="preserve">https://www.thesustainabilitycloud.com/blog/cbam-2026-what-has-changed-and-what-you-must-do-now/</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China's national carbon market: An overview, accessed on May 16,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https://www.researchgate.net/publication/392294717_The_development_of_China's_national_carbon_market_An_overview</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summary – Enhancing China's ETS for Carbon Neutrality, accessed on May 16, 2026, </w:t>
      </w:r>
      <w:hyperlink r:id="rId47">
        <w:r w:rsidDel="00000000" w:rsidR="00000000" w:rsidRPr="00000000">
          <w:rPr>
            <w:rFonts w:ascii="Google Sans" w:cs="Google Sans" w:eastAsia="Google Sans" w:hAnsi="Google Sans"/>
            <w:color w:val="0000ee"/>
            <w:sz w:val="24"/>
            <w:szCs w:val="24"/>
            <w:u w:val="single"/>
            <w:rtl w:val="0"/>
          </w:rPr>
          <w:t xml:space="preserve">https://www.iea.org/reports/enhancing-chinas-ets-for-carbon-neutrality-focus-on-power-sector/executive-summary</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Expands Its National Carbon Emission Trading Scheme to, accessed on May 16, 2026, </w:t>
      </w:r>
      <w:hyperlink r:id="rId48">
        <w:r w:rsidDel="00000000" w:rsidR="00000000" w:rsidRPr="00000000">
          <w:rPr>
            <w:rFonts w:ascii="Google Sans" w:cs="Google Sans" w:eastAsia="Google Sans" w:hAnsi="Google Sans"/>
            <w:color w:val="0000ee"/>
            <w:sz w:val="24"/>
            <w:szCs w:val="24"/>
            <w:u w:val="single"/>
            <w:rtl w:val="0"/>
          </w:rPr>
          <w:t xml:space="preserve">https://www.lw.com/en/insights/china-expands-its-national-carbon-emission-trading-scheme-to-more-industries</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officially expands national ETS to cement, steel and, accessed on May 16, 2026, </w:t>
      </w:r>
      <w:hyperlink r:id="rId49">
        <w:r w:rsidDel="00000000" w:rsidR="00000000" w:rsidRPr="00000000">
          <w:rPr>
            <w:rFonts w:ascii="Google Sans" w:cs="Google Sans" w:eastAsia="Google Sans" w:hAnsi="Google Sans"/>
            <w:color w:val="0000ee"/>
            <w:sz w:val="24"/>
            <w:szCs w:val="24"/>
            <w:u w:val="single"/>
            <w:rtl w:val="0"/>
          </w:rPr>
          <w:t xml:space="preserve">https://icapcarbonaction.com/en/news/china-officially-expands-national-ets-cement-steel-and-aluminum-sectors</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releases 2024–2025 allowance allocation plan for industrial, accessed on May 16, 2026, </w:t>
      </w:r>
      <w:hyperlink r:id="rId50">
        <w:r w:rsidDel="00000000" w:rsidR="00000000" w:rsidRPr="00000000">
          <w:rPr>
            <w:rFonts w:ascii="Google Sans" w:cs="Google Sans" w:eastAsia="Google Sans" w:hAnsi="Google Sans"/>
            <w:color w:val="0000ee"/>
            <w:sz w:val="24"/>
            <w:szCs w:val="24"/>
            <w:u w:val="single"/>
            <w:rtl w:val="0"/>
          </w:rPr>
          <w:t xml:space="preserve">https://icapcarbonaction.com/en/news/china-releases-2024-2025-allowance-allocation-plan-industrial-sectors-national-ets</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carbon market set to introduce absolute emissions caps by, accessed on May 16, 2026, </w:t>
      </w:r>
      <w:hyperlink r:id="rId51">
        <w:r w:rsidDel="00000000" w:rsidR="00000000" w:rsidRPr="00000000">
          <w:rPr>
            <w:rFonts w:ascii="Google Sans" w:cs="Google Sans" w:eastAsia="Google Sans" w:hAnsi="Google Sans"/>
            <w:color w:val="0000ee"/>
            <w:sz w:val="24"/>
            <w:szCs w:val="24"/>
            <w:u w:val="single"/>
            <w:rtl w:val="0"/>
          </w:rPr>
          <w:t xml:space="preserve">https://dialogue.earth/en/digest/chinas-carbon-market-set-to-introduce-absolute-emissions-cap/</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issues landmark guidelines to transition to absolute cap and, accessed on May 16, 2026, </w:t>
      </w:r>
      <w:hyperlink r:id="rId52">
        <w:r w:rsidDel="00000000" w:rsidR="00000000" w:rsidRPr="00000000">
          <w:rPr>
            <w:rFonts w:ascii="Google Sans" w:cs="Google Sans" w:eastAsia="Google Sans" w:hAnsi="Google Sans"/>
            <w:color w:val="0000ee"/>
            <w:sz w:val="24"/>
            <w:szCs w:val="24"/>
            <w:u w:val="single"/>
            <w:rtl w:val="0"/>
          </w:rPr>
          <w:t xml:space="preserve">https://icapcarbonaction.com/en/news/china-issues-landmark-guidelines-transition-absolute-cap-and-expand-scope-national-ets</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for Structuring India's Carbon Market to Support a Cost, accessed on May 16, 2026, </w:t>
      </w:r>
      <w:hyperlink r:id="rId53">
        <w:r w:rsidDel="00000000" w:rsidR="00000000" w:rsidRPr="00000000">
          <w:rPr>
            <w:rFonts w:ascii="Google Sans" w:cs="Google Sans" w:eastAsia="Google Sans" w:hAnsi="Google Sans"/>
            <w:color w:val="0000ee"/>
            <w:sz w:val="24"/>
            <w:szCs w:val="24"/>
            <w:u w:val="single"/>
            <w:rtl w:val="0"/>
          </w:rPr>
          <w:t xml:space="preserve">https://www.energypolicy.columbia.edu/publications/lessons-for-structuring-indias-carbon-market-to-support-a-cost-efficient-energy-transition/</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market volatility analysis based on structural breaks - Frontiers, accessed on May 16, 2026, </w:t>
      </w:r>
      <w:hyperlink r:id="rId54">
        <w:r w:rsidDel="00000000" w:rsidR="00000000" w:rsidRPr="00000000">
          <w:rPr>
            <w:rFonts w:ascii="Google Sans" w:cs="Google Sans" w:eastAsia="Google Sans" w:hAnsi="Google Sans"/>
            <w:color w:val="0000ee"/>
            <w:sz w:val="24"/>
            <w:szCs w:val="24"/>
            <w:u w:val="single"/>
            <w:rtl w:val="0"/>
          </w:rPr>
          <w:t xml:space="preserve">https://www.frontiersin.org/journals/environmental-science/articles/10.3389/fenvs.2022.973855/full</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emissions trading system (ETS) reforms: On track, but needs, accessed on May 16, 2026, </w:t>
      </w:r>
      <w:hyperlink r:id="rId55">
        <w:r w:rsidDel="00000000" w:rsidR="00000000" w:rsidRPr="00000000">
          <w:rPr>
            <w:rFonts w:ascii="Google Sans" w:cs="Google Sans" w:eastAsia="Google Sans" w:hAnsi="Google Sans"/>
            <w:color w:val="0000ee"/>
            <w:sz w:val="24"/>
            <w:szCs w:val="24"/>
            <w:u w:val="single"/>
            <w:rtl w:val="0"/>
          </w:rPr>
          <w:t xml:space="preserve">https://ieefa.org/resources/chinas-emissions-trading-system-ets-reforms-track-needs-robust-enforcement</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Carbon Market: The Evolution, Challenges, and Opportunities, accessed on May 16, 2026, </w:t>
      </w:r>
      <w:hyperlink r:id="rId56">
        <w:r w:rsidDel="00000000" w:rsidR="00000000" w:rsidRPr="00000000">
          <w:rPr>
            <w:rFonts w:ascii="Google Sans" w:cs="Google Sans" w:eastAsia="Google Sans" w:hAnsi="Google Sans"/>
            <w:color w:val="0000ee"/>
            <w:sz w:val="24"/>
            <w:szCs w:val="24"/>
            <w:u w:val="single"/>
            <w:rtl w:val="0"/>
          </w:rPr>
          <w:t xml:space="preserve">https://www.clearbluemarkets.com/knowledge-base/chinas-carbon-market-the-evolution-challenges-and-opportunities</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Carbon Allowance Prices Hold at EUR74–77 in May 2026, accessed on May 16, 2026, </w:t>
      </w:r>
      <w:hyperlink r:id="rId57">
        <w:r w:rsidDel="00000000" w:rsidR="00000000" w:rsidRPr="00000000">
          <w:rPr>
            <w:rFonts w:ascii="Google Sans" w:cs="Google Sans" w:eastAsia="Google Sans" w:hAnsi="Google Sans"/>
            <w:color w:val="0000ee"/>
            <w:sz w:val="24"/>
            <w:szCs w:val="24"/>
            <w:u w:val="single"/>
            <w:rtl w:val="0"/>
          </w:rPr>
          <w:t xml:space="preserve">https://www.indexbox.io/blog/eu-carbon-allowance-prices-hold-at-eur7477-in-may-2026/</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India's carbon market needs a price stability mechanism - IEEFA, accessed on May 16, 2026, </w:t>
      </w:r>
      <w:hyperlink r:id="rId58">
        <w:r w:rsidDel="00000000" w:rsidR="00000000" w:rsidRPr="00000000">
          <w:rPr>
            <w:rFonts w:ascii="Google Sans" w:cs="Google Sans" w:eastAsia="Google Sans" w:hAnsi="Google Sans"/>
            <w:color w:val="0000ee"/>
            <w:sz w:val="24"/>
            <w:szCs w:val="24"/>
            <w:u w:val="single"/>
            <w:rtl w:val="0"/>
          </w:rPr>
          <w:t xml:space="preserve">https://ieefa.org/resources/why-indias-carbon-market-needs-price-stability-mechanism</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China's carbon market price fluctuation and international ..., accessed on May 16, 2026, </w:t>
      </w:r>
      <w:hyperlink r:id="rId59">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https://journals.plos.org/plosone/article?id=10.1371/journal.pone.0294269</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Model for Carbon Price Forecasting Based on Secondary, accessed on May 16, 2026, </w:t>
      </w:r>
      <w:hyperlink r:id="rId60">
        <w:r w:rsidDel="00000000" w:rsidR="00000000" w:rsidRPr="00000000">
          <w:rPr>
            <w:rFonts w:ascii="Google Sans" w:cs="Google Sans" w:eastAsia="Google Sans" w:hAnsi="Google Sans"/>
            <w:color w:val="0000ee"/>
            <w:sz w:val="24"/>
            <w:szCs w:val="24"/>
            <w:u w:val="single"/>
            <w:rtl w:val="0"/>
          </w:rPr>
          <w:t xml:space="preserve">https://www.mdpi.com/2227-7390/13/14/2323</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Predictive Power of Transformers, ARIMA, and LSTM, accessed on May 16, 2026, </w:t>
      </w:r>
      <w:hyperlink r:id="rId61">
        <w:r w:rsidDel="00000000" w:rsidR="00000000" w:rsidRPr="00000000">
          <w:rPr>
            <w:rFonts w:ascii="Google Sans" w:cs="Google Sans" w:eastAsia="Google Sans" w:hAnsi="Google Sans"/>
            <w:color w:val="0000ee"/>
            <w:sz w:val="24"/>
            <w:szCs w:val="24"/>
            <w:u w:val="single"/>
            <w:rtl w:val="0"/>
          </w:rPr>
          <w:t xml:space="preserve">https://www.mdpi.com/1911-8074/17/7/293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llfrontierglobal.com/blog/cbam-definitive-phase-2026.php" TargetMode="External"/><Relationship Id="rId42" Type="http://schemas.openxmlformats.org/officeDocument/2006/relationships/hyperlink" Target="https://encarbonsys.com/cbam-blog/cbam-india-exporters-guide-2026.html" TargetMode="External"/><Relationship Id="rId41" Type="http://schemas.openxmlformats.org/officeDocument/2006/relationships/hyperlink" Target="https://carbonsettle.com/cbam-india-guide" TargetMode="External"/><Relationship Id="rId44" Type="http://schemas.openxmlformats.org/officeDocument/2006/relationships/hyperlink" Target="https://carbonherald.com/draft-eu-cbam-rules-allow-carbon-credit-deductions-but-cap-international-credits-at-10/" TargetMode="External"/><Relationship Id="rId43" Type="http://schemas.openxmlformats.org/officeDocument/2006/relationships/hyperlink" Target="https://www.thesustainabilitycloud.com/blog/eu-cbam-verifiers-complete-guide-and-checklist-for-indian-exporters-2026-ready/" TargetMode="External"/><Relationship Id="rId46" Type="http://schemas.openxmlformats.org/officeDocument/2006/relationships/hyperlink" Target="https://www.researchgate.net/publication/392294717_The_development_of_China's_national_carbon_market_An_overview" TargetMode="External"/><Relationship Id="rId45" Type="http://schemas.openxmlformats.org/officeDocument/2006/relationships/hyperlink" Target="https://www.thesustainabilitycloud.com/blog/cbam-2026-what-has-changed-and-what-you-must-do-n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www.lw.com/en/insights/china-expands-its-national-carbon-emission-trading-scheme-to-more-industries" TargetMode="External"/><Relationship Id="rId47" Type="http://schemas.openxmlformats.org/officeDocument/2006/relationships/hyperlink" Target="https://www.iea.org/reports/enhancing-chinas-ets-for-carbon-neutrality-focus-on-power-sector/executive-summary" TargetMode="External"/><Relationship Id="rId49" Type="http://schemas.openxmlformats.org/officeDocument/2006/relationships/hyperlink" Target="https://icapcarbonaction.com/en/news/china-officially-expands-national-ets-cement-steel-and-aluminum-sector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9.png"/><Relationship Id="rId31" Type="http://schemas.openxmlformats.org/officeDocument/2006/relationships/hyperlink" Target="https://www.argusmedia.com/en/news-and-insights/latest-market-news/2826630-eu-eyes-deducting-carbon-credits-under-cbam" TargetMode="External"/><Relationship Id="rId30" Type="http://schemas.openxmlformats.org/officeDocument/2006/relationships/hyperlink" Target="https://transitionasia.org/wp-content/uploads/2025/03/EN_Steel-Enters-China-ETS.pdf" TargetMode="External"/><Relationship Id="rId33" Type="http://schemas.openxmlformats.org/officeDocument/2006/relationships/hyperlink" Target="https://icapcarbonaction.com/en/news/india-notifies-emission-intensity-targets-nine-sectors-under-carbon-credit-trading-scheme" TargetMode="External"/><Relationship Id="rId32" Type="http://schemas.openxmlformats.org/officeDocument/2006/relationships/hyperlink" Target="https://www.mdpi.com/2071-1050/18/5/2324" TargetMode="External"/><Relationship Id="rId35" Type="http://schemas.openxmlformats.org/officeDocument/2006/relationships/hyperlink" Target="https://sentra.world/blogs/ccts/sectors-under-carbon-credit-trading-scheme/" TargetMode="External"/><Relationship Id="rId34" Type="http://schemas.openxmlformats.org/officeDocument/2006/relationships/hyperlink" Target="https://offset8capital.com/articles/indian-carbon-market-ccts-article6/" TargetMode="External"/><Relationship Id="rId37" Type="http://schemas.openxmlformats.org/officeDocument/2006/relationships/hyperlink" Target="https://niti.gov.in/sites/default/files/2026-02/Scenarios-Towards-Viksit-Bharat-and-Net-Zero-Sectoral-Insights-Industry.pdf" TargetMode="External"/><Relationship Id="rId36" Type="http://schemas.openxmlformats.org/officeDocument/2006/relationships/hyperlink" Target="https://www.lse.ac.uk/granthaminstitute/wp-content/uploads/2025/08/What-does-the-CCTS-mean-for-the-Indian-steel-sector.pdf" TargetMode="External"/><Relationship Id="rId39" Type="http://schemas.openxmlformats.org/officeDocument/2006/relationships/hyperlink" Target="https://thetaxathlete.com/cbam-india-2026-guide/" TargetMode="External"/><Relationship Id="rId38" Type="http://schemas.openxmlformats.org/officeDocument/2006/relationships/hyperlink" Target="https://taxation-customs.ec.europa.eu/carbon-border-adjustment-mechanism_en" TargetMode="External"/><Relationship Id="rId61" Type="http://schemas.openxmlformats.org/officeDocument/2006/relationships/hyperlink" Target="https://www.mdpi.com/1911-8074/17/7/293" TargetMode="External"/><Relationship Id="rId20" Type="http://schemas.openxmlformats.org/officeDocument/2006/relationships/image" Target="media/image19.png"/><Relationship Id="rId22" Type="http://schemas.openxmlformats.org/officeDocument/2006/relationships/image" Target="media/image7.png"/><Relationship Id="rId21" Type="http://schemas.openxmlformats.org/officeDocument/2006/relationships/image" Target="media/image20.png"/><Relationship Id="rId24" Type="http://schemas.openxmlformats.org/officeDocument/2006/relationships/image" Target="media/image4.png"/><Relationship Id="rId23" Type="http://schemas.openxmlformats.org/officeDocument/2006/relationships/image" Target="media/image13.png"/><Relationship Id="rId60" Type="http://schemas.openxmlformats.org/officeDocument/2006/relationships/hyperlink" Target="https://www.mdpi.com/2227-7390/13/14/2323" TargetMode="External"/><Relationship Id="rId26" Type="http://schemas.openxmlformats.org/officeDocument/2006/relationships/image" Target="media/image22.png"/><Relationship Id="rId25" Type="http://schemas.openxmlformats.org/officeDocument/2006/relationships/image" Target="media/image5.png"/><Relationship Id="rId28" Type="http://schemas.openxmlformats.org/officeDocument/2006/relationships/hyperlink" Target="https://icapcarbonaction.com/en/news/compliance-obligations-under-indias-carbon-credit-trading-scheme-enter-force-seven-sectors" TargetMode="External"/><Relationship Id="rId27" Type="http://schemas.openxmlformats.org/officeDocument/2006/relationships/image" Target="media/image2.png"/><Relationship Id="rId29" Type="http://schemas.openxmlformats.org/officeDocument/2006/relationships/hyperlink" Target="https://www.mdpi.com/2071-1050/18/10/4738" TargetMode="External"/><Relationship Id="rId51" Type="http://schemas.openxmlformats.org/officeDocument/2006/relationships/hyperlink" Target="https://dialogue.earth/en/digest/chinas-carbon-market-set-to-introduce-absolute-emissions-cap/" TargetMode="External"/><Relationship Id="rId50" Type="http://schemas.openxmlformats.org/officeDocument/2006/relationships/hyperlink" Target="https://icapcarbonaction.com/en/news/china-releases-2024-2025-allowance-allocation-plan-industrial-sectors-national-ets" TargetMode="External"/><Relationship Id="rId53" Type="http://schemas.openxmlformats.org/officeDocument/2006/relationships/hyperlink" Target="https://www.energypolicy.columbia.edu/publications/lessons-for-structuring-indias-carbon-market-to-support-a-cost-efficient-energy-transition/" TargetMode="External"/><Relationship Id="rId52" Type="http://schemas.openxmlformats.org/officeDocument/2006/relationships/hyperlink" Target="https://icapcarbonaction.com/en/news/china-issues-landmark-guidelines-transition-absolute-cap-and-expand-scope-national-ets" TargetMode="External"/><Relationship Id="rId11" Type="http://schemas.openxmlformats.org/officeDocument/2006/relationships/image" Target="media/image10.png"/><Relationship Id="rId55" Type="http://schemas.openxmlformats.org/officeDocument/2006/relationships/hyperlink" Target="https://ieefa.org/resources/chinas-emissions-trading-system-ets-reforms-track-needs-robust-enforcement" TargetMode="External"/><Relationship Id="rId10" Type="http://schemas.openxmlformats.org/officeDocument/2006/relationships/image" Target="media/image14.png"/><Relationship Id="rId54" Type="http://schemas.openxmlformats.org/officeDocument/2006/relationships/hyperlink" Target="https://www.frontiersin.org/journals/environmental-science/articles/10.3389/fenvs.2022.973855/full" TargetMode="External"/><Relationship Id="rId13" Type="http://schemas.openxmlformats.org/officeDocument/2006/relationships/image" Target="media/image11.png"/><Relationship Id="rId57" Type="http://schemas.openxmlformats.org/officeDocument/2006/relationships/hyperlink" Target="https://www.indexbox.io/blog/eu-carbon-allowance-prices-hold-at-eur7477-in-may-2026/" TargetMode="External"/><Relationship Id="rId12" Type="http://schemas.openxmlformats.org/officeDocument/2006/relationships/image" Target="media/image8.png"/><Relationship Id="rId56" Type="http://schemas.openxmlformats.org/officeDocument/2006/relationships/hyperlink" Target="https://www.clearbluemarkets.com/knowledge-base/chinas-carbon-market-the-evolution-challenges-and-opportunities" TargetMode="External"/><Relationship Id="rId15" Type="http://schemas.openxmlformats.org/officeDocument/2006/relationships/image" Target="media/image15.png"/><Relationship Id="rId59" Type="http://schemas.openxmlformats.org/officeDocument/2006/relationships/hyperlink" Target="https://journals.plos.org/plosone/article?id=10.1371/journal.pone.0294269" TargetMode="External"/><Relationship Id="rId14" Type="http://schemas.openxmlformats.org/officeDocument/2006/relationships/image" Target="media/image6.png"/><Relationship Id="rId58" Type="http://schemas.openxmlformats.org/officeDocument/2006/relationships/hyperlink" Target="https://ieefa.org/resources/why-indias-carbon-market-needs-price-stability-mechanism" TargetMode="External"/><Relationship Id="rId17" Type="http://schemas.openxmlformats.org/officeDocument/2006/relationships/image" Target="media/image18.png"/><Relationship Id="rId16" Type="http://schemas.openxmlformats.org/officeDocument/2006/relationships/image" Target="media/image17.png"/><Relationship Id="rId19" Type="http://schemas.openxmlformats.org/officeDocument/2006/relationships/image" Target="media/image1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